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8ADD9" w14:textId="3B75E344" w:rsidR="00640C29" w:rsidRPr="00BD61FF" w:rsidRDefault="0053453C" w:rsidP="004A3282">
      <w:pPr>
        <w:pStyle w:val="Heading1"/>
        <w:ind w:left="720" w:hanging="720"/>
        <w:jc w:val="center"/>
        <w:rPr>
          <w:rFonts w:ascii="Arial" w:hAnsi="Arial" w:cs="Arial"/>
          <w:b/>
          <w:color w:val="auto"/>
          <w:sz w:val="22"/>
          <w:szCs w:val="22"/>
        </w:rPr>
      </w:pPr>
      <w:r w:rsidRPr="00BD61FF">
        <w:rPr>
          <w:rFonts w:ascii="Arial" w:hAnsi="Arial" w:cs="Arial"/>
          <w:b/>
          <w:color w:val="auto"/>
          <w:sz w:val="22"/>
          <w:szCs w:val="22"/>
        </w:rPr>
        <w:t>POLICE</w:t>
      </w:r>
      <w:r w:rsidR="001D50F6" w:rsidRPr="00BD61FF">
        <w:rPr>
          <w:rFonts w:ascii="Arial" w:hAnsi="Arial" w:cs="Arial"/>
          <w:b/>
          <w:color w:val="auto"/>
          <w:sz w:val="22"/>
          <w:szCs w:val="22"/>
        </w:rPr>
        <w:t xml:space="preserve"> &amp;</w:t>
      </w:r>
      <w:r w:rsidRPr="00BD61FF">
        <w:rPr>
          <w:rFonts w:ascii="Arial" w:hAnsi="Arial" w:cs="Arial"/>
          <w:b/>
          <w:color w:val="auto"/>
          <w:sz w:val="22"/>
          <w:szCs w:val="22"/>
        </w:rPr>
        <w:t xml:space="preserve"> CRIME COMMISSIONER FOR THAMES VALLEY</w:t>
      </w:r>
    </w:p>
    <w:p w14:paraId="4BBB2C81" w14:textId="365D4A38" w:rsidR="00640C29" w:rsidRDefault="0053453C" w:rsidP="00640C29">
      <w:pPr>
        <w:jc w:val="center"/>
        <w:rPr>
          <w:b/>
          <w:sz w:val="22"/>
          <w:szCs w:val="22"/>
        </w:rPr>
      </w:pPr>
      <w:r w:rsidRPr="002C0DE1">
        <w:rPr>
          <w:b/>
          <w:sz w:val="22"/>
          <w:szCs w:val="22"/>
        </w:rPr>
        <w:t xml:space="preserve">MINUTES OF THE LEVEL 1 MEETING HELD </w:t>
      </w:r>
      <w:r w:rsidR="00D743E5">
        <w:rPr>
          <w:b/>
          <w:sz w:val="22"/>
          <w:szCs w:val="22"/>
        </w:rPr>
        <w:t xml:space="preserve">IN THE CONFERENCE ROOM, </w:t>
      </w:r>
      <w:r w:rsidRPr="002C0DE1">
        <w:rPr>
          <w:b/>
          <w:sz w:val="22"/>
          <w:szCs w:val="22"/>
        </w:rPr>
        <w:t>POLICE HEADQU</w:t>
      </w:r>
      <w:r w:rsidR="00AC284C" w:rsidRPr="002C0DE1">
        <w:rPr>
          <w:b/>
          <w:sz w:val="22"/>
          <w:szCs w:val="22"/>
        </w:rPr>
        <w:t>ARTERS, KIDLINGTON</w:t>
      </w:r>
      <w:r w:rsidR="00640C29">
        <w:rPr>
          <w:b/>
          <w:sz w:val="22"/>
          <w:szCs w:val="22"/>
        </w:rPr>
        <w:t>, OXON</w:t>
      </w:r>
      <w:r w:rsidR="00AC284C" w:rsidRPr="002C0DE1">
        <w:rPr>
          <w:b/>
          <w:sz w:val="22"/>
          <w:szCs w:val="22"/>
        </w:rPr>
        <w:t xml:space="preserve"> </w:t>
      </w:r>
    </w:p>
    <w:p w14:paraId="09A5B37D" w14:textId="5EE7E5F5" w:rsidR="0053453C" w:rsidRPr="002C0DE1" w:rsidRDefault="00BC24B8" w:rsidP="00640C29">
      <w:pPr>
        <w:jc w:val="center"/>
        <w:rPr>
          <w:b/>
          <w:sz w:val="22"/>
          <w:szCs w:val="22"/>
        </w:rPr>
      </w:pPr>
      <w:r>
        <w:rPr>
          <w:b/>
          <w:sz w:val="22"/>
          <w:szCs w:val="22"/>
          <w:u w:val="single"/>
        </w:rPr>
        <w:t xml:space="preserve">22 JANUARY 2019 </w:t>
      </w:r>
      <w:r w:rsidR="0053453C" w:rsidRPr="00640C29">
        <w:rPr>
          <w:b/>
          <w:sz w:val="22"/>
          <w:szCs w:val="22"/>
          <w:u w:val="single"/>
        </w:rPr>
        <w:t xml:space="preserve">COMMENCING AT </w:t>
      </w:r>
      <w:r w:rsidR="00150DED">
        <w:rPr>
          <w:b/>
          <w:sz w:val="22"/>
          <w:szCs w:val="22"/>
          <w:u w:val="single"/>
        </w:rPr>
        <w:t>10.3</w:t>
      </w:r>
      <w:r w:rsidR="00D743E5" w:rsidRPr="00640C29">
        <w:rPr>
          <w:b/>
          <w:sz w:val="22"/>
          <w:szCs w:val="22"/>
          <w:u w:val="single"/>
        </w:rPr>
        <w:t>0AM</w:t>
      </w:r>
      <w:r w:rsidR="00AC284C" w:rsidRPr="00640C29">
        <w:rPr>
          <w:b/>
          <w:sz w:val="22"/>
          <w:szCs w:val="22"/>
          <w:u w:val="single"/>
        </w:rPr>
        <w:t xml:space="preserve"> AND CONCLUD</w:t>
      </w:r>
      <w:r w:rsidR="00640C29" w:rsidRPr="00640C29">
        <w:rPr>
          <w:b/>
          <w:sz w:val="22"/>
          <w:szCs w:val="22"/>
          <w:u w:val="single"/>
        </w:rPr>
        <w:t>ING</w:t>
      </w:r>
      <w:r w:rsidR="00AC284C" w:rsidRPr="00640C29">
        <w:rPr>
          <w:b/>
          <w:sz w:val="22"/>
          <w:szCs w:val="22"/>
          <w:u w:val="single"/>
        </w:rPr>
        <w:t xml:space="preserve"> AT</w:t>
      </w:r>
      <w:r>
        <w:rPr>
          <w:b/>
          <w:sz w:val="22"/>
          <w:szCs w:val="22"/>
          <w:u w:val="single"/>
        </w:rPr>
        <w:t xml:space="preserve"> </w:t>
      </w:r>
      <w:r w:rsidR="00175ECC">
        <w:rPr>
          <w:b/>
          <w:sz w:val="22"/>
          <w:szCs w:val="22"/>
          <w:u w:val="single"/>
        </w:rPr>
        <w:t>1</w:t>
      </w:r>
      <w:r w:rsidR="002D0B28">
        <w:rPr>
          <w:b/>
          <w:sz w:val="22"/>
          <w:szCs w:val="22"/>
          <w:u w:val="single"/>
        </w:rPr>
        <w:t>2</w:t>
      </w:r>
      <w:r w:rsidR="00175ECC">
        <w:rPr>
          <w:b/>
          <w:sz w:val="22"/>
          <w:szCs w:val="22"/>
          <w:u w:val="single"/>
        </w:rPr>
        <w:t>.</w:t>
      </w:r>
      <w:r w:rsidR="002D0B28">
        <w:rPr>
          <w:b/>
          <w:sz w:val="22"/>
          <w:szCs w:val="22"/>
          <w:u w:val="single"/>
        </w:rPr>
        <w:t>2</w:t>
      </w:r>
      <w:r w:rsidR="00175ECC">
        <w:rPr>
          <w:b/>
          <w:sz w:val="22"/>
          <w:szCs w:val="22"/>
          <w:u w:val="single"/>
        </w:rPr>
        <w:t>0</w:t>
      </w:r>
      <w:r w:rsidR="00150DED">
        <w:rPr>
          <w:b/>
          <w:sz w:val="22"/>
          <w:szCs w:val="22"/>
          <w:u w:val="single"/>
        </w:rPr>
        <w:t>PM</w:t>
      </w:r>
    </w:p>
    <w:p w14:paraId="34E37C7B" w14:textId="77777777" w:rsidR="0053453C" w:rsidRPr="002C0DE1" w:rsidRDefault="0053453C" w:rsidP="0053453C">
      <w:pPr>
        <w:pStyle w:val="BodyText"/>
        <w:rPr>
          <w:sz w:val="22"/>
          <w:szCs w:val="22"/>
        </w:rPr>
      </w:pPr>
    </w:p>
    <w:p w14:paraId="162B4BC2" w14:textId="77777777" w:rsidR="0053453C" w:rsidRPr="002C0DE1" w:rsidRDefault="0053453C" w:rsidP="0053453C">
      <w:pPr>
        <w:pStyle w:val="BodyText"/>
        <w:rPr>
          <w:sz w:val="22"/>
          <w:szCs w:val="22"/>
        </w:rPr>
      </w:pPr>
      <w:r w:rsidRPr="002C0DE1">
        <w:rPr>
          <w:sz w:val="22"/>
          <w:szCs w:val="22"/>
        </w:rPr>
        <w:t>Present:</w:t>
      </w:r>
    </w:p>
    <w:p w14:paraId="1606197C" w14:textId="37C6D0AD" w:rsidR="0053453C" w:rsidRPr="00DA651E" w:rsidRDefault="0053453C" w:rsidP="0053453C">
      <w:pPr>
        <w:pStyle w:val="BodyText"/>
        <w:rPr>
          <w:b w:val="0"/>
          <w:sz w:val="22"/>
          <w:szCs w:val="22"/>
        </w:rPr>
      </w:pPr>
      <w:r w:rsidRPr="00DA651E">
        <w:rPr>
          <w:b w:val="0"/>
          <w:sz w:val="22"/>
          <w:szCs w:val="22"/>
        </w:rPr>
        <w:t>A Stansfeld (</w:t>
      </w:r>
      <w:r w:rsidR="00DA651E" w:rsidRPr="00DA651E">
        <w:rPr>
          <w:b w:val="0"/>
          <w:sz w:val="22"/>
          <w:szCs w:val="22"/>
        </w:rPr>
        <w:t>Chair and</w:t>
      </w:r>
      <w:r w:rsidR="002008E5" w:rsidRPr="00DA651E">
        <w:rPr>
          <w:b w:val="0"/>
          <w:sz w:val="22"/>
          <w:szCs w:val="22"/>
        </w:rPr>
        <w:t xml:space="preserve"> </w:t>
      </w:r>
      <w:r w:rsidRPr="00DA651E">
        <w:rPr>
          <w:b w:val="0"/>
          <w:sz w:val="22"/>
          <w:szCs w:val="22"/>
        </w:rPr>
        <w:t xml:space="preserve">Police </w:t>
      </w:r>
      <w:r w:rsidR="001D50F6" w:rsidRPr="00DA651E">
        <w:rPr>
          <w:b w:val="0"/>
          <w:sz w:val="22"/>
          <w:szCs w:val="22"/>
        </w:rPr>
        <w:t>&amp;</w:t>
      </w:r>
      <w:r w:rsidRPr="00DA651E">
        <w:rPr>
          <w:b w:val="0"/>
          <w:sz w:val="22"/>
          <w:szCs w:val="22"/>
        </w:rPr>
        <w:t xml:space="preserve"> Crime Commissioner)</w:t>
      </w:r>
      <w:r w:rsidR="00C73B0F" w:rsidRPr="00DA651E">
        <w:rPr>
          <w:b w:val="0"/>
          <w:sz w:val="22"/>
          <w:szCs w:val="22"/>
        </w:rPr>
        <w:t xml:space="preserve"> (OPCC)</w:t>
      </w:r>
    </w:p>
    <w:p w14:paraId="030C72E2" w14:textId="77777777" w:rsidR="0053453C" w:rsidRPr="00DA651E" w:rsidRDefault="0053453C" w:rsidP="0053453C">
      <w:pPr>
        <w:pStyle w:val="BodyText"/>
        <w:rPr>
          <w:b w:val="0"/>
          <w:sz w:val="22"/>
          <w:szCs w:val="22"/>
        </w:rPr>
      </w:pPr>
    </w:p>
    <w:p w14:paraId="0F9FEA7F" w14:textId="77777777" w:rsidR="0053453C" w:rsidRPr="00DA651E" w:rsidRDefault="0053453C" w:rsidP="0053453C">
      <w:pPr>
        <w:pStyle w:val="BodyText"/>
        <w:rPr>
          <w:sz w:val="22"/>
          <w:szCs w:val="22"/>
        </w:rPr>
      </w:pPr>
      <w:r w:rsidRPr="00DA651E">
        <w:rPr>
          <w:sz w:val="22"/>
          <w:szCs w:val="22"/>
        </w:rPr>
        <w:t>Chief Officers present:</w:t>
      </w:r>
    </w:p>
    <w:p w14:paraId="04F3CBEE" w14:textId="7C402582" w:rsidR="0053453C" w:rsidRPr="00DA651E" w:rsidRDefault="00EA7A84" w:rsidP="0053453C">
      <w:pPr>
        <w:pStyle w:val="BodyText"/>
        <w:rPr>
          <w:sz w:val="22"/>
          <w:szCs w:val="22"/>
        </w:rPr>
      </w:pPr>
      <w:r w:rsidRPr="00DA651E">
        <w:rPr>
          <w:b w:val="0"/>
          <w:sz w:val="22"/>
          <w:szCs w:val="22"/>
        </w:rPr>
        <w:t>F Habgood (</w:t>
      </w:r>
      <w:r w:rsidR="0053453C" w:rsidRPr="00DA651E">
        <w:rPr>
          <w:b w:val="0"/>
          <w:sz w:val="22"/>
          <w:szCs w:val="22"/>
        </w:rPr>
        <w:t>Chief Constable</w:t>
      </w:r>
      <w:r w:rsidRPr="00DA651E">
        <w:rPr>
          <w:b w:val="0"/>
          <w:sz w:val="22"/>
          <w:szCs w:val="22"/>
        </w:rPr>
        <w:t>)</w:t>
      </w:r>
      <w:r w:rsidR="0053453C" w:rsidRPr="00DA651E">
        <w:rPr>
          <w:sz w:val="22"/>
          <w:szCs w:val="22"/>
        </w:rPr>
        <w:t xml:space="preserve"> </w:t>
      </w:r>
      <w:r w:rsidR="0097034A" w:rsidRPr="00DA651E">
        <w:rPr>
          <w:b w:val="0"/>
          <w:sz w:val="22"/>
          <w:szCs w:val="22"/>
        </w:rPr>
        <w:t>(TVP)</w:t>
      </w:r>
    </w:p>
    <w:p w14:paraId="0B204923" w14:textId="5D721297" w:rsidR="00D743E5" w:rsidRPr="00DA651E" w:rsidRDefault="00D743E5" w:rsidP="0053453C">
      <w:pPr>
        <w:pStyle w:val="BodyText"/>
        <w:rPr>
          <w:b w:val="0"/>
          <w:sz w:val="22"/>
          <w:szCs w:val="22"/>
        </w:rPr>
      </w:pPr>
      <w:r w:rsidRPr="00DA651E">
        <w:rPr>
          <w:b w:val="0"/>
          <w:sz w:val="22"/>
          <w:szCs w:val="22"/>
        </w:rPr>
        <w:t>J Campbell (Deputy Chief Constable)</w:t>
      </w:r>
      <w:r w:rsidR="0097034A" w:rsidRPr="00DA651E">
        <w:rPr>
          <w:b w:val="0"/>
          <w:sz w:val="22"/>
          <w:szCs w:val="22"/>
        </w:rPr>
        <w:t xml:space="preserve"> (TVP)</w:t>
      </w:r>
    </w:p>
    <w:p w14:paraId="5719EB6A" w14:textId="77777777" w:rsidR="00905FDE" w:rsidRPr="00DA651E" w:rsidRDefault="00905FDE" w:rsidP="00905FDE">
      <w:pPr>
        <w:pStyle w:val="BodyText"/>
        <w:rPr>
          <w:b w:val="0"/>
          <w:sz w:val="22"/>
          <w:szCs w:val="22"/>
        </w:rPr>
      </w:pPr>
      <w:r w:rsidRPr="00DA651E">
        <w:rPr>
          <w:b w:val="0"/>
          <w:sz w:val="22"/>
          <w:szCs w:val="22"/>
        </w:rPr>
        <w:t>M Barber (Deputy Police &amp; Crime Commissioner) (OPCC)</w:t>
      </w:r>
    </w:p>
    <w:p w14:paraId="113E9088" w14:textId="77777777" w:rsidR="002D0B28" w:rsidRPr="00DA651E" w:rsidRDefault="002D0B28" w:rsidP="002D0B28">
      <w:pPr>
        <w:pStyle w:val="BodyText"/>
        <w:rPr>
          <w:b w:val="0"/>
          <w:sz w:val="22"/>
          <w:szCs w:val="22"/>
        </w:rPr>
      </w:pPr>
      <w:r w:rsidRPr="00DA651E">
        <w:rPr>
          <w:b w:val="0"/>
          <w:sz w:val="22"/>
          <w:szCs w:val="22"/>
        </w:rPr>
        <w:t>P Hammond (Chief Executive) (OPCC)</w:t>
      </w:r>
    </w:p>
    <w:p w14:paraId="7F4FCF8E" w14:textId="77777777" w:rsidR="00AC284C" w:rsidRPr="00DA651E" w:rsidRDefault="00EA7A84" w:rsidP="00AC284C">
      <w:pPr>
        <w:pStyle w:val="BodyText"/>
        <w:rPr>
          <w:b w:val="0"/>
          <w:sz w:val="22"/>
          <w:szCs w:val="22"/>
        </w:rPr>
      </w:pPr>
      <w:r w:rsidRPr="00DA651E">
        <w:rPr>
          <w:b w:val="0"/>
          <w:sz w:val="22"/>
          <w:szCs w:val="22"/>
        </w:rPr>
        <w:t>L Waters (</w:t>
      </w:r>
      <w:r w:rsidR="00AC284C" w:rsidRPr="00DA651E">
        <w:rPr>
          <w:b w:val="0"/>
          <w:sz w:val="22"/>
          <w:szCs w:val="22"/>
        </w:rPr>
        <w:t>Director of Finance</w:t>
      </w:r>
      <w:r w:rsidRPr="00DA651E">
        <w:rPr>
          <w:b w:val="0"/>
          <w:sz w:val="22"/>
          <w:szCs w:val="22"/>
        </w:rPr>
        <w:t>)</w:t>
      </w:r>
      <w:r w:rsidR="00AC284C" w:rsidRPr="00DA651E">
        <w:rPr>
          <w:b w:val="0"/>
          <w:sz w:val="22"/>
          <w:szCs w:val="22"/>
        </w:rPr>
        <w:t xml:space="preserve"> </w:t>
      </w:r>
      <w:r w:rsidRPr="00DA651E">
        <w:rPr>
          <w:b w:val="0"/>
          <w:sz w:val="22"/>
          <w:szCs w:val="22"/>
        </w:rPr>
        <w:t>(TVP)</w:t>
      </w:r>
    </w:p>
    <w:p w14:paraId="33DA6AD4" w14:textId="77777777" w:rsidR="0053453C" w:rsidRDefault="00EA7A84" w:rsidP="0053453C">
      <w:pPr>
        <w:pStyle w:val="BodyText"/>
        <w:rPr>
          <w:b w:val="0"/>
          <w:sz w:val="22"/>
          <w:szCs w:val="22"/>
        </w:rPr>
      </w:pPr>
      <w:r w:rsidRPr="00DA651E">
        <w:rPr>
          <w:b w:val="0"/>
          <w:sz w:val="22"/>
          <w:szCs w:val="22"/>
        </w:rPr>
        <w:t>I Thompson (</w:t>
      </w:r>
      <w:r w:rsidR="0053453C" w:rsidRPr="00DA651E">
        <w:rPr>
          <w:b w:val="0"/>
          <w:sz w:val="22"/>
          <w:szCs w:val="22"/>
        </w:rPr>
        <w:t>Chief Finance Officer</w:t>
      </w:r>
      <w:r w:rsidR="0026288B" w:rsidRPr="00DA651E">
        <w:rPr>
          <w:b w:val="0"/>
          <w:sz w:val="22"/>
          <w:szCs w:val="22"/>
        </w:rPr>
        <w:t xml:space="preserve"> </w:t>
      </w:r>
      <w:r w:rsidRPr="00DA651E">
        <w:rPr>
          <w:b w:val="0"/>
          <w:sz w:val="22"/>
          <w:szCs w:val="22"/>
        </w:rPr>
        <w:t>&amp;</w:t>
      </w:r>
      <w:r w:rsidR="0026288B" w:rsidRPr="00DA651E">
        <w:rPr>
          <w:b w:val="0"/>
          <w:sz w:val="22"/>
          <w:szCs w:val="22"/>
        </w:rPr>
        <w:t xml:space="preserve"> Deputy Chief Executive</w:t>
      </w:r>
      <w:r w:rsidRPr="00DA651E">
        <w:rPr>
          <w:b w:val="0"/>
          <w:sz w:val="22"/>
          <w:szCs w:val="22"/>
        </w:rPr>
        <w:t>) (OPCC)</w:t>
      </w:r>
    </w:p>
    <w:p w14:paraId="72E59A63" w14:textId="77777777" w:rsidR="002D0B28" w:rsidRPr="00DA651E" w:rsidRDefault="002D0B28" w:rsidP="002D0B28">
      <w:pPr>
        <w:pStyle w:val="BodyText"/>
        <w:rPr>
          <w:b w:val="0"/>
          <w:sz w:val="22"/>
          <w:szCs w:val="22"/>
        </w:rPr>
      </w:pPr>
      <w:r w:rsidRPr="00DA651E">
        <w:rPr>
          <w:b w:val="0"/>
          <w:sz w:val="22"/>
          <w:szCs w:val="22"/>
        </w:rPr>
        <w:t>M Chappell (Head of Comms) (TVP)</w:t>
      </w:r>
    </w:p>
    <w:p w14:paraId="657B7015" w14:textId="31F88286" w:rsidR="00BC24B8" w:rsidRPr="00DA651E" w:rsidRDefault="00BC24B8" w:rsidP="0053453C">
      <w:pPr>
        <w:pStyle w:val="BodyText"/>
        <w:rPr>
          <w:b w:val="0"/>
          <w:sz w:val="22"/>
          <w:szCs w:val="22"/>
        </w:rPr>
      </w:pPr>
      <w:r w:rsidRPr="00DA651E">
        <w:rPr>
          <w:b w:val="0"/>
          <w:sz w:val="22"/>
          <w:szCs w:val="22"/>
        </w:rPr>
        <w:t>P Smith (Property Service, Strategy Manager)</w:t>
      </w:r>
    </w:p>
    <w:p w14:paraId="70E9EC77" w14:textId="77777777" w:rsidR="00C73B0F" w:rsidRPr="00DA651E" w:rsidRDefault="00C73B0F" w:rsidP="0053453C">
      <w:pPr>
        <w:pStyle w:val="BodyText"/>
        <w:rPr>
          <w:b w:val="0"/>
          <w:sz w:val="22"/>
          <w:szCs w:val="22"/>
        </w:rPr>
      </w:pPr>
    </w:p>
    <w:p w14:paraId="4EF5656A" w14:textId="3F2E64D9" w:rsidR="00C73B0F" w:rsidRPr="00DA651E" w:rsidRDefault="00C73B0F" w:rsidP="005B5742">
      <w:pPr>
        <w:pStyle w:val="BodyText"/>
        <w:tabs>
          <w:tab w:val="left" w:pos="8340"/>
        </w:tabs>
        <w:rPr>
          <w:sz w:val="22"/>
          <w:szCs w:val="22"/>
        </w:rPr>
      </w:pPr>
      <w:r w:rsidRPr="00DA651E">
        <w:rPr>
          <w:sz w:val="22"/>
          <w:szCs w:val="22"/>
        </w:rPr>
        <w:t xml:space="preserve">Present: </w:t>
      </w:r>
      <w:r w:rsidR="005B5742">
        <w:rPr>
          <w:sz w:val="22"/>
          <w:szCs w:val="22"/>
        </w:rPr>
        <w:tab/>
      </w:r>
      <w:bookmarkStart w:id="0" w:name="_GoBack"/>
      <w:bookmarkEnd w:id="0"/>
    </w:p>
    <w:p w14:paraId="0449BB4A" w14:textId="70432475" w:rsidR="00C73B0F" w:rsidRPr="00DA651E" w:rsidRDefault="00C73B0F" w:rsidP="0053453C">
      <w:pPr>
        <w:pStyle w:val="BodyText"/>
        <w:rPr>
          <w:b w:val="0"/>
          <w:sz w:val="22"/>
          <w:szCs w:val="22"/>
        </w:rPr>
      </w:pPr>
      <w:r w:rsidRPr="00DA651E">
        <w:rPr>
          <w:b w:val="0"/>
          <w:sz w:val="22"/>
          <w:szCs w:val="22"/>
        </w:rPr>
        <w:t>C Roberts (Executive Assistant to the PCC/DPCC</w:t>
      </w:r>
      <w:r w:rsidR="005B569D" w:rsidRPr="00DA651E">
        <w:rPr>
          <w:b w:val="0"/>
          <w:sz w:val="22"/>
          <w:szCs w:val="22"/>
        </w:rPr>
        <w:t xml:space="preserve">) - </w:t>
      </w:r>
      <w:r w:rsidR="00400ADC" w:rsidRPr="00DA651E">
        <w:rPr>
          <w:b w:val="0"/>
          <w:sz w:val="22"/>
          <w:szCs w:val="22"/>
        </w:rPr>
        <w:t>Minutes</w:t>
      </w:r>
      <w:r w:rsidRPr="00DA651E">
        <w:rPr>
          <w:b w:val="0"/>
          <w:sz w:val="22"/>
          <w:szCs w:val="22"/>
        </w:rPr>
        <w:t xml:space="preserve"> (OPCC)</w:t>
      </w:r>
    </w:p>
    <w:p w14:paraId="374DFBEA" w14:textId="3BAAAFDC" w:rsidR="00175ECC" w:rsidRPr="00DA651E" w:rsidRDefault="00175ECC" w:rsidP="0053453C">
      <w:pPr>
        <w:pStyle w:val="BodyText"/>
        <w:rPr>
          <w:b w:val="0"/>
          <w:sz w:val="22"/>
          <w:szCs w:val="22"/>
        </w:rPr>
      </w:pPr>
      <w:r w:rsidRPr="00DA651E">
        <w:rPr>
          <w:b w:val="0"/>
          <w:sz w:val="22"/>
          <w:szCs w:val="22"/>
        </w:rPr>
        <w:t>C Heinrich (Communications &amp; Engagement Manager)</w:t>
      </w:r>
      <w:r w:rsidR="00F919ED">
        <w:rPr>
          <w:b w:val="0"/>
          <w:sz w:val="22"/>
          <w:szCs w:val="22"/>
        </w:rPr>
        <w:t xml:space="preserve"> (OPCC)</w:t>
      </w:r>
    </w:p>
    <w:p w14:paraId="45C6040B" w14:textId="1E29637D" w:rsidR="00175ECC" w:rsidRPr="00DA651E" w:rsidRDefault="00175ECC" w:rsidP="0053453C">
      <w:pPr>
        <w:pStyle w:val="BodyText"/>
        <w:rPr>
          <w:b w:val="0"/>
          <w:sz w:val="22"/>
          <w:szCs w:val="22"/>
        </w:rPr>
      </w:pPr>
      <w:r w:rsidRPr="00DA651E">
        <w:rPr>
          <w:b w:val="0"/>
          <w:sz w:val="22"/>
          <w:szCs w:val="22"/>
        </w:rPr>
        <w:t>S Stokes (Communications &amp; Engagement Officer)</w:t>
      </w:r>
      <w:r w:rsidR="00F919ED">
        <w:rPr>
          <w:b w:val="0"/>
          <w:sz w:val="22"/>
          <w:szCs w:val="22"/>
        </w:rPr>
        <w:t xml:space="preserve"> (OPCC)</w:t>
      </w:r>
    </w:p>
    <w:p w14:paraId="33EE8FF8" w14:textId="77777777" w:rsidR="00C73B0F" w:rsidRPr="00DA651E" w:rsidRDefault="00C73B0F" w:rsidP="0053453C">
      <w:pPr>
        <w:pStyle w:val="BodyText"/>
        <w:rPr>
          <w:b w:val="0"/>
          <w:sz w:val="22"/>
          <w:szCs w:val="22"/>
        </w:rPr>
      </w:pPr>
    </w:p>
    <w:p w14:paraId="337A1418" w14:textId="5535C532" w:rsidR="00154FA9" w:rsidRPr="00DA651E" w:rsidRDefault="00154FA9" w:rsidP="0053453C">
      <w:pPr>
        <w:pStyle w:val="BodyText"/>
        <w:rPr>
          <w:sz w:val="22"/>
          <w:szCs w:val="22"/>
        </w:rPr>
      </w:pPr>
      <w:r w:rsidRPr="00DA651E">
        <w:rPr>
          <w:sz w:val="22"/>
          <w:szCs w:val="22"/>
        </w:rPr>
        <w:t>Others Present:</w:t>
      </w:r>
    </w:p>
    <w:p w14:paraId="6D619FA1" w14:textId="39F17986" w:rsidR="00154FA9" w:rsidRPr="00DA651E" w:rsidRDefault="00150DED" w:rsidP="0053453C">
      <w:pPr>
        <w:pStyle w:val="BodyText"/>
        <w:rPr>
          <w:b w:val="0"/>
          <w:sz w:val="22"/>
          <w:szCs w:val="22"/>
        </w:rPr>
      </w:pPr>
      <w:r w:rsidRPr="00DA651E">
        <w:rPr>
          <w:b w:val="0"/>
          <w:sz w:val="22"/>
          <w:szCs w:val="22"/>
        </w:rPr>
        <w:t xml:space="preserve">K Ahmed </w:t>
      </w:r>
      <w:r w:rsidR="00154FA9" w:rsidRPr="00DA651E">
        <w:rPr>
          <w:b w:val="0"/>
          <w:sz w:val="22"/>
          <w:szCs w:val="22"/>
        </w:rPr>
        <w:t>(Observer</w:t>
      </w:r>
      <w:r w:rsidR="002008E5" w:rsidRPr="00DA651E">
        <w:rPr>
          <w:b w:val="0"/>
          <w:sz w:val="22"/>
          <w:szCs w:val="22"/>
        </w:rPr>
        <w:t>/</w:t>
      </w:r>
      <w:r w:rsidR="00884C00" w:rsidRPr="00DA651E">
        <w:rPr>
          <w:b w:val="0"/>
          <w:sz w:val="22"/>
          <w:szCs w:val="22"/>
        </w:rPr>
        <w:t xml:space="preserve">Scrutiny Officer, </w:t>
      </w:r>
      <w:r w:rsidR="00154FA9" w:rsidRPr="00DA651E">
        <w:rPr>
          <w:b w:val="0"/>
          <w:sz w:val="22"/>
          <w:szCs w:val="22"/>
        </w:rPr>
        <w:t>Police &amp; Crime Panel)</w:t>
      </w:r>
    </w:p>
    <w:p w14:paraId="4EFD3120" w14:textId="6C6B5D49" w:rsidR="00175ECC" w:rsidRPr="00DA651E" w:rsidRDefault="00175ECC" w:rsidP="0053453C">
      <w:pPr>
        <w:pStyle w:val="BodyText"/>
        <w:rPr>
          <w:b w:val="0"/>
          <w:sz w:val="22"/>
          <w:szCs w:val="22"/>
        </w:rPr>
      </w:pPr>
      <w:r w:rsidRPr="00DA651E">
        <w:rPr>
          <w:b w:val="0"/>
          <w:sz w:val="22"/>
          <w:szCs w:val="22"/>
        </w:rPr>
        <w:t>Michael Race (BBC Oxford)</w:t>
      </w:r>
    </w:p>
    <w:p w14:paraId="61403BF0" w14:textId="78483DC7" w:rsidR="00DA651E" w:rsidRPr="00DA651E" w:rsidRDefault="00DA651E" w:rsidP="0053453C">
      <w:pPr>
        <w:pStyle w:val="BodyText"/>
        <w:rPr>
          <w:b w:val="0"/>
          <w:sz w:val="22"/>
          <w:szCs w:val="22"/>
        </w:rPr>
      </w:pPr>
      <w:r w:rsidRPr="00DA651E">
        <w:rPr>
          <w:b w:val="0"/>
          <w:sz w:val="22"/>
          <w:szCs w:val="22"/>
        </w:rPr>
        <w:t>Tom Williams (Oxford Mail)</w:t>
      </w:r>
    </w:p>
    <w:p w14:paraId="6252717D" w14:textId="334A35D2" w:rsidR="00175ECC" w:rsidRDefault="00175ECC" w:rsidP="0053453C">
      <w:pPr>
        <w:pStyle w:val="BodyText"/>
        <w:rPr>
          <w:b w:val="0"/>
          <w:sz w:val="22"/>
          <w:szCs w:val="22"/>
        </w:rPr>
      </w:pPr>
      <w:r>
        <w:rPr>
          <w:b w:val="0"/>
          <w:sz w:val="22"/>
          <w:szCs w:val="22"/>
        </w:rPr>
        <w:t>Mel Bloor (ITV Meridian)</w:t>
      </w:r>
    </w:p>
    <w:p w14:paraId="6DE6B30D" w14:textId="4EABE3AD" w:rsidR="00175ECC" w:rsidRPr="00BC24B8" w:rsidRDefault="00175ECC" w:rsidP="0053453C">
      <w:pPr>
        <w:pStyle w:val="BodyText"/>
        <w:rPr>
          <w:b w:val="0"/>
          <w:sz w:val="22"/>
          <w:szCs w:val="22"/>
        </w:rPr>
      </w:pPr>
      <w:r>
        <w:rPr>
          <w:b w:val="0"/>
          <w:sz w:val="22"/>
          <w:szCs w:val="22"/>
        </w:rPr>
        <w:t>Mark Emery (ITV Meridian Cameraman)</w:t>
      </w:r>
    </w:p>
    <w:p w14:paraId="5D4124C0" w14:textId="77777777" w:rsidR="0053453C" w:rsidRPr="00BC24B8" w:rsidRDefault="0053453C" w:rsidP="0053453C">
      <w:pPr>
        <w:pStyle w:val="BodyText"/>
        <w:rPr>
          <w:b w:val="0"/>
          <w:sz w:val="22"/>
          <w:szCs w:val="22"/>
        </w:rPr>
      </w:pPr>
    </w:p>
    <w:p w14:paraId="6BBD2EA5" w14:textId="77777777" w:rsidR="00150DED" w:rsidRPr="00BC24B8" w:rsidRDefault="0053453C" w:rsidP="00AC284C">
      <w:pPr>
        <w:pStyle w:val="BodyText"/>
        <w:rPr>
          <w:b w:val="0"/>
          <w:sz w:val="22"/>
          <w:szCs w:val="22"/>
        </w:rPr>
      </w:pPr>
      <w:r w:rsidRPr="00BC24B8">
        <w:rPr>
          <w:sz w:val="22"/>
          <w:szCs w:val="22"/>
        </w:rPr>
        <w:t>Apologies:</w:t>
      </w:r>
      <w:r w:rsidR="00154FA9" w:rsidRPr="00BC24B8">
        <w:rPr>
          <w:sz w:val="22"/>
          <w:szCs w:val="22"/>
        </w:rPr>
        <w:t xml:space="preserve"> </w:t>
      </w:r>
    </w:p>
    <w:p w14:paraId="0B606D70" w14:textId="6A915BCB" w:rsidR="00EB206A" w:rsidRPr="00BC24B8" w:rsidRDefault="00BC24B8" w:rsidP="00AC284C">
      <w:pPr>
        <w:pStyle w:val="BodyText"/>
        <w:rPr>
          <w:sz w:val="22"/>
          <w:szCs w:val="22"/>
        </w:rPr>
      </w:pPr>
      <w:r w:rsidRPr="00BC24B8">
        <w:rPr>
          <w:b w:val="0"/>
          <w:sz w:val="22"/>
          <w:szCs w:val="22"/>
        </w:rPr>
        <w:t xml:space="preserve">Christine Kirby </w:t>
      </w:r>
    </w:p>
    <w:p w14:paraId="2B67CAE3" w14:textId="53B352D9" w:rsidR="00EA7A84" w:rsidRPr="002C0DE1" w:rsidRDefault="00EA7A84" w:rsidP="00AC284C">
      <w:pPr>
        <w:pStyle w:val="BodyText"/>
        <w:rPr>
          <w:b w:val="0"/>
          <w:sz w:val="22"/>
          <w:szCs w:val="22"/>
          <w:u w:val="single"/>
        </w:rPr>
      </w:pP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p>
    <w:p w14:paraId="47DF35AA" w14:textId="77777777" w:rsidR="0053453C" w:rsidRPr="002C0DE1" w:rsidRDefault="0053453C" w:rsidP="0053453C">
      <w:pPr>
        <w:pStyle w:val="BodyText"/>
        <w:rPr>
          <w:b w:val="0"/>
          <w:sz w:val="22"/>
          <w:szCs w:val="22"/>
        </w:rPr>
      </w:pPr>
    </w:p>
    <w:p w14:paraId="583F20E2" w14:textId="063558C7" w:rsidR="00C15222" w:rsidRDefault="00C15222" w:rsidP="009706D0">
      <w:pPr>
        <w:rPr>
          <w:b/>
          <w:sz w:val="22"/>
          <w:szCs w:val="22"/>
        </w:rPr>
      </w:pPr>
      <w:r>
        <w:rPr>
          <w:b/>
          <w:sz w:val="22"/>
          <w:szCs w:val="22"/>
        </w:rPr>
        <w:t>APOLOGIES</w:t>
      </w:r>
    </w:p>
    <w:p w14:paraId="2286A0BB" w14:textId="77777777" w:rsidR="00884C00" w:rsidRDefault="00884C00" w:rsidP="009706D0">
      <w:pPr>
        <w:rPr>
          <w:b/>
          <w:sz w:val="22"/>
          <w:szCs w:val="22"/>
        </w:rPr>
      </w:pPr>
    </w:p>
    <w:p w14:paraId="21D0EBFE" w14:textId="2D9C4EE7" w:rsidR="00884C00" w:rsidRPr="00884C00" w:rsidRDefault="00884C00" w:rsidP="009706D0">
      <w:pPr>
        <w:rPr>
          <w:sz w:val="22"/>
          <w:szCs w:val="22"/>
        </w:rPr>
      </w:pPr>
      <w:r>
        <w:rPr>
          <w:sz w:val="22"/>
          <w:szCs w:val="22"/>
        </w:rPr>
        <w:t xml:space="preserve">The Chair welcomed </w:t>
      </w:r>
      <w:r w:rsidR="002B67E8">
        <w:rPr>
          <w:sz w:val="22"/>
          <w:szCs w:val="22"/>
        </w:rPr>
        <w:t xml:space="preserve">all </w:t>
      </w:r>
      <w:r>
        <w:rPr>
          <w:sz w:val="22"/>
          <w:szCs w:val="22"/>
        </w:rPr>
        <w:t xml:space="preserve">to the meeting and noted </w:t>
      </w:r>
      <w:r w:rsidR="00175ECC">
        <w:rPr>
          <w:sz w:val="22"/>
          <w:szCs w:val="22"/>
        </w:rPr>
        <w:t xml:space="preserve">the </w:t>
      </w:r>
      <w:r w:rsidR="002008E5">
        <w:rPr>
          <w:sz w:val="22"/>
          <w:szCs w:val="22"/>
        </w:rPr>
        <w:t>apologies</w:t>
      </w:r>
      <w:r w:rsidR="002D0B28">
        <w:rPr>
          <w:sz w:val="22"/>
          <w:szCs w:val="22"/>
        </w:rPr>
        <w:t xml:space="preserve">. The Police &amp; Crime Commissioner (PCC) indicated that </w:t>
      </w:r>
      <w:r w:rsidR="00DA651E">
        <w:rPr>
          <w:sz w:val="22"/>
          <w:szCs w:val="22"/>
        </w:rPr>
        <w:t>Agenda item 2</w:t>
      </w:r>
      <w:r w:rsidR="00E94883">
        <w:rPr>
          <w:sz w:val="22"/>
          <w:szCs w:val="22"/>
        </w:rPr>
        <w:t>,</w:t>
      </w:r>
      <w:r w:rsidR="00DA651E">
        <w:rPr>
          <w:sz w:val="22"/>
          <w:szCs w:val="22"/>
        </w:rPr>
        <w:t xml:space="preserve"> the draft Minutes of the CIEP meeting would not be covered</w:t>
      </w:r>
      <w:r w:rsidR="002D0B28">
        <w:rPr>
          <w:sz w:val="22"/>
          <w:szCs w:val="22"/>
        </w:rPr>
        <w:t xml:space="preserve"> </w:t>
      </w:r>
      <w:r w:rsidR="00DA651E">
        <w:rPr>
          <w:sz w:val="22"/>
          <w:szCs w:val="22"/>
        </w:rPr>
        <w:t>today as this was still in draft</w:t>
      </w:r>
      <w:r w:rsidR="002D0B28">
        <w:rPr>
          <w:sz w:val="22"/>
          <w:szCs w:val="22"/>
        </w:rPr>
        <w:t xml:space="preserve"> form</w:t>
      </w:r>
      <w:r w:rsidR="00DA651E">
        <w:rPr>
          <w:sz w:val="22"/>
          <w:szCs w:val="22"/>
        </w:rPr>
        <w:t xml:space="preserve"> but would be dealt with at the next Level 1 meeting</w:t>
      </w:r>
      <w:r w:rsidR="002D0B28">
        <w:rPr>
          <w:sz w:val="22"/>
          <w:szCs w:val="22"/>
        </w:rPr>
        <w:t xml:space="preserve"> in March</w:t>
      </w:r>
      <w:r w:rsidR="00441168">
        <w:rPr>
          <w:sz w:val="22"/>
          <w:szCs w:val="22"/>
        </w:rPr>
        <w:t>.</w:t>
      </w:r>
    </w:p>
    <w:p w14:paraId="08DD66DB" w14:textId="77777777" w:rsidR="00C15222" w:rsidRDefault="00C15222" w:rsidP="009706D0">
      <w:pPr>
        <w:rPr>
          <w:b/>
          <w:sz w:val="22"/>
          <w:szCs w:val="22"/>
        </w:rPr>
      </w:pPr>
    </w:p>
    <w:p w14:paraId="30BF907D" w14:textId="77777777" w:rsidR="00C15222" w:rsidRDefault="00C15222" w:rsidP="009706D0">
      <w:pPr>
        <w:rPr>
          <w:b/>
          <w:sz w:val="22"/>
          <w:szCs w:val="22"/>
        </w:rPr>
      </w:pPr>
    </w:p>
    <w:p w14:paraId="59338FCD" w14:textId="3E17390B" w:rsidR="00EB206A" w:rsidRDefault="00BC24B8" w:rsidP="009706D0">
      <w:pPr>
        <w:rPr>
          <w:b/>
          <w:sz w:val="22"/>
          <w:szCs w:val="22"/>
        </w:rPr>
      </w:pPr>
      <w:r>
        <w:rPr>
          <w:b/>
          <w:sz w:val="22"/>
          <w:szCs w:val="22"/>
        </w:rPr>
        <w:t>34</w:t>
      </w:r>
      <w:r w:rsidR="00150DED">
        <w:rPr>
          <w:b/>
          <w:sz w:val="22"/>
          <w:szCs w:val="22"/>
        </w:rPr>
        <w:t>.</w:t>
      </w:r>
      <w:r w:rsidR="00150DED">
        <w:rPr>
          <w:b/>
          <w:sz w:val="22"/>
          <w:szCs w:val="22"/>
        </w:rPr>
        <w:tab/>
      </w:r>
      <w:r w:rsidR="00A05179">
        <w:rPr>
          <w:b/>
          <w:sz w:val="22"/>
          <w:szCs w:val="22"/>
        </w:rPr>
        <w:t xml:space="preserve">MINUTES </w:t>
      </w:r>
      <w:r w:rsidR="009626A5">
        <w:rPr>
          <w:b/>
          <w:sz w:val="22"/>
          <w:szCs w:val="22"/>
        </w:rPr>
        <w:t xml:space="preserve">OF THE LAST MEETING HELD ON </w:t>
      </w:r>
      <w:r>
        <w:rPr>
          <w:b/>
          <w:sz w:val="22"/>
          <w:szCs w:val="22"/>
        </w:rPr>
        <w:t>26 NOVEMBER</w:t>
      </w:r>
      <w:r w:rsidR="009626A5">
        <w:rPr>
          <w:b/>
          <w:sz w:val="22"/>
          <w:szCs w:val="22"/>
        </w:rPr>
        <w:t xml:space="preserve"> 2018</w:t>
      </w:r>
    </w:p>
    <w:p w14:paraId="46B64F7D" w14:textId="77777777" w:rsidR="00E94883" w:rsidRDefault="00E94883" w:rsidP="009706D0">
      <w:pPr>
        <w:rPr>
          <w:b/>
          <w:sz w:val="22"/>
          <w:szCs w:val="22"/>
        </w:rPr>
      </w:pPr>
    </w:p>
    <w:p w14:paraId="5B143A50" w14:textId="352C0167" w:rsidR="00E94883" w:rsidRDefault="00E94883" w:rsidP="009706D0">
      <w:pPr>
        <w:rPr>
          <w:sz w:val="22"/>
          <w:szCs w:val="22"/>
        </w:rPr>
      </w:pPr>
      <w:r>
        <w:rPr>
          <w:sz w:val="22"/>
          <w:szCs w:val="22"/>
        </w:rPr>
        <w:t>The PCC went through the minutes and actions of the Level 1 me</w:t>
      </w:r>
      <w:r w:rsidR="000A39C2">
        <w:rPr>
          <w:sz w:val="22"/>
          <w:szCs w:val="22"/>
        </w:rPr>
        <w:t>eting held on 26 November 2018.</w:t>
      </w:r>
    </w:p>
    <w:p w14:paraId="69FD4AD0" w14:textId="77777777" w:rsidR="000A39C2" w:rsidRDefault="000A39C2" w:rsidP="009706D0">
      <w:pPr>
        <w:rPr>
          <w:sz w:val="22"/>
          <w:szCs w:val="22"/>
        </w:rPr>
      </w:pPr>
    </w:p>
    <w:p w14:paraId="743E9F36" w14:textId="7A6CD385" w:rsidR="000A39C2" w:rsidRDefault="000A39C2" w:rsidP="009706D0">
      <w:pPr>
        <w:rPr>
          <w:sz w:val="22"/>
          <w:szCs w:val="22"/>
        </w:rPr>
      </w:pPr>
      <w:r w:rsidRPr="000A39C2">
        <w:rPr>
          <w:sz w:val="22"/>
          <w:szCs w:val="22"/>
        </w:rPr>
        <w:t xml:space="preserve">Action 21: A meeting was </w:t>
      </w:r>
      <w:r w:rsidR="002D0B28">
        <w:rPr>
          <w:sz w:val="22"/>
          <w:szCs w:val="22"/>
        </w:rPr>
        <w:t xml:space="preserve">now fixed </w:t>
      </w:r>
      <w:r w:rsidRPr="000A39C2">
        <w:rPr>
          <w:sz w:val="22"/>
          <w:szCs w:val="22"/>
        </w:rPr>
        <w:t>to take place between Paul Hammond (PH)</w:t>
      </w:r>
      <w:r>
        <w:rPr>
          <w:sz w:val="22"/>
          <w:szCs w:val="22"/>
        </w:rPr>
        <w:t xml:space="preserve">, Gary Evans (GE) and DCC </w:t>
      </w:r>
      <w:r w:rsidR="00E62792">
        <w:rPr>
          <w:sz w:val="22"/>
          <w:szCs w:val="22"/>
        </w:rPr>
        <w:t xml:space="preserve">John </w:t>
      </w:r>
      <w:r>
        <w:rPr>
          <w:sz w:val="22"/>
          <w:szCs w:val="22"/>
        </w:rPr>
        <w:t>Campbell</w:t>
      </w:r>
      <w:r w:rsidR="00E62792">
        <w:rPr>
          <w:sz w:val="22"/>
          <w:szCs w:val="22"/>
        </w:rPr>
        <w:t xml:space="preserve"> (DCC Campbell)</w:t>
      </w:r>
      <w:r>
        <w:rPr>
          <w:sz w:val="22"/>
          <w:szCs w:val="22"/>
        </w:rPr>
        <w:t xml:space="preserve"> in Q4 on 11 March 2019 to discuss an approach to responding to published recommendations on the HMICFRS Reports.</w:t>
      </w:r>
    </w:p>
    <w:p w14:paraId="4BAEE57E" w14:textId="77777777" w:rsidR="000A39C2" w:rsidRDefault="000A39C2" w:rsidP="009706D0">
      <w:pPr>
        <w:rPr>
          <w:sz w:val="22"/>
          <w:szCs w:val="22"/>
        </w:rPr>
      </w:pPr>
    </w:p>
    <w:p w14:paraId="13908089" w14:textId="5D98AB8B" w:rsidR="000A39C2" w:rsidRDefault="000A39C2" w:rsidP="009706D0">
      <w:pPr>
        <w:rPr>
          <w:sz w:val="22"/>
          <w:szCs w:val="22"/>
        </w:rPr>
      </w:pPr>
      <w:r>
        <w:rPr>
          <w:sz w:val="22"/>
          <w:szCs w:val="22"/>
        </w:rPr>
        <w:t>Action 23: The PCC confirmed the consultancy costs in relation to Reading Police Station had been received by him on the 21 January 2019.</w:t>
      </w:r>
    </w:p>
    <w:p w14:paraId="3EAF13D5" w14:textId="77777777" w:rsidR="000A39C2" w:rsidRDefault="000A39C2" w:rsidP="009706D0">
      <w:pPr>
        <w:rPr>
          <w:sz w:val="22"/>
          <w:szCs w:val="22"/>
        </w:rPr>
      </w:pPr>
    </w:p>
    <w:p w14:paraId="44F9D32E" w14:textId="5A63DD3A" w:rsidR="000A39C2" w:rsidRDefault="000A39C2" w:rsidP="009706D0">
      <w:pPr>
        <w:rPr>
          <w:sz w:val="22"/>
          <w:szCs w:val="22"/>
        </w:rPr>
      </w:pPr>
      <w:r>
        <w:rPr>
          <w:sz w:val="22"/>
          <w:szCs w:val="22"/>
        </w:rPr>
        <w:t>Action 28: Ian Thompson (IT) confirmed that he would provide an update as t</w:t>
      </w:r>
      <w:r w:rsidR="002D0B28">
        <w:rPr>
          <w:sz w:val="22"/>
          <w:szCs w:val="22"/>
        </w:rPr>
        <w:t xml:space="preserve">o the Council Tax figures from </w:t>
      </w:r>
      <w:r>
        <w:rPr>
          <w:sz w:val="22"/>
          <w:szCs w:val="22"/>
        </w:rPr>
        <w:t xml:space="preserve">Reading </w:t>
      </w:r>
      <w:r w:rsidR="002D0B28">
        <w:rPr>
          <w:sz w:val="22"/>
          <w:szCs w:val="22"/>
        </w:rPr>
        <w:t xml:space="preserve">Council </w:t>
      </w:r>
      <w:r>
        <w:rPr>
          <w:sz w:val="22"/>
          <w:szCs w:val="22"/>
        </w:rPr>
        <w:t>and Slough Council later on in today’s meeting.</w:t>
      </w:r>
    </w:p>
    <w:p w14:paraId="5CA42AB0" w14:textId="77777777" w:rsidR="000A39C2" w:rsidRDefault="000A39C2" w:rsidP="009706D0">
      <w:pPr>
        <w:rPr>
          <w:sz w:val="22"/>
          <w:szCs w:val="22"/>
        </w:rPr>
      </w:pPr>
    </w:p>
    <w:p w14:paraId="150E81B2" w14:textId="6989E0F1" w:rsidR="000A39C2" w:rsidRDefault="000A39C2" w:rsidP="009706D0">
      <w:pPr>
        <w:rPr>
          <w:sz w:val="22"/>
          <w:szCs w:val="22"/>
        </w:rPr>
      </w:pPr>
      <w:r>
        <w:rPr>
          <w:sz w:val="22"/>
          <w:szCs w:val="22"/>
        </w:rPr>
        <w:lastRenderedPageBreak/>
        <w:t xml:space="preserve">Action 30: </w:t>
      </w:r>
      <w:r w:rsidR="00E62792">
        <w:rPr>
          <w:sz w:val="22"/>
          <w:szCs w:val="22"/>
        </w:rPr>
        <w:t>(</w:t>
      </w:r>
      <w:r>
        <w:rPr>
          <w:sz w:val="22"/>
          <w:szCs w:val="22"/>
        </w:rPr>
        <w:t>IT</w:t>
      </w:r>
      <w:r w:rsidR="00E62792">
        <w:rPr>
          <w:sz w:val="22"/>
          <w:szCs w:val="22"/>
        </w:rPr>
        <w:t>)</w:t>
      </w:r>
      <w:r>
        <w:rPr>
          <w:sz w:val="22"/>
          <w:szCs w:val="22"/>
        </w:rPr>
        <w:t xml:space="preserve"> would update the PCC on Reserves, Balances and Provisions </w:t>
      </w:r>
      <w:r w:rsidR="00F919ED">
        <w:rPr>
          <w:sz w:val="22"/>
          <w:szCs w:val="22"/>
        </w:rPr>
        <w:t xml:space="preserve">when presenting </w:t>
      </w:r>
      <w:r>
        <w:rPr>
          <w:sz w:val="22"/>
          <w:szCs w:val="22"/>
        </w:rPr>
        <w:t>Agenda item 12.</w:t>
      </w:r>
    </w:p>
    <w:p w14:paraId="3D51FDD0" w14:textId="77777777" w:rsidR="002D0B28" w:rsidRPr="000A39C2" w:rsidRDefault="002D0B28" w:rsidP="009706D0">
      <w:pPr>
        <w:rPr>
          <w:sz w:val="22"/>
          <w:szCs w:val="22"/>
        </w:rPr>
      </w:pPr>
    </w:p>
    <w:p w14:paraId="3DDB3673" w14:textId="77777777" w:rsidR="00441168" w:rsidRDefault="00441168" w:rsidP="009706D0">
      <w:pPr>
        <w:rPr>
          <w:sz w:val="22"/>
          <w:szCs w:val="22"/>
        </w:rPr>
      </w:pPr>
    </w:p>
    <w:p w14:paraId="73FFBA21" w14:textId="753B9EAE" w:rsidR="0053453C" w:rsidRDefault="009626A5" w:rsidP="009706D0">
      <w:pPr>
        <w:rPr>
          <w:sz w:val="22"/>
          <w:szCs w:val="22"/>
        </w:rPr>
      </w:pPr>
      <w:r>
        <w:rPr>
          <w:sz w:val="22"/>
          <w:szCs w:val="22"/>
        </w:rPr>
        <w:t xml:space="preserve">The </w:t>
      </w:r>
      <w:r w:rsidR="00884C00">
        <w:rPr>
          <w:sz w:val="22"/>
          <w:szCs w:val="22"/>
        </w:rPr>
        <w:t>M</w:t>
      </w:r>
      <w:r w:rsidR="0053453C" w:rsidRPr="002C0DE1">
        <w:rPr>
          <w:sz w:val="22"/>
          <w:szCs w:val="22"/>
        </w:rPr>
        <w:t xml:space="preserve">inutes were </w:t>
      </w:r>
      <w:r w:rsidR="00CD24C2">
        <w:rPr>
          <w:b/>
          <w:sz w:val="22"/>
          <w:szCs w:val="22"/>
        </w:rPr>
        <w:t>CONFIRMED</w:t>
      </w:r>
      <w:r w:rsidR="00884C00">
        <w:rPr>
          <w:sz w:val="22"/>
          <w:szCs w:val="22"/>
        </w:rPr>
        <w:t xml:space="preserve"> </w:t>
      </w:r>
      <w:r w:rsidR="00400ADC">
        <w:rPr>
          <w:sz w:val="22"/>
          <w:szCs w:val="22"/>
        </w:rPr>
        <w:t xml:space="preserve">as a true record and </w:t>
      </w:r>
      <w:r w:rsidR="00CD24C2">
        <w:rPr>
          <w:b/>
          <w:sz w:val="22"/>
          <w:szCs w:val="22"/>
        </w:rPr>
        <w:t>ENDORSED</w:t>
      </w:r>
      <w:r w:rsidR="00400ADC">
        <w:rPr>
          <w:sz w:val="22"/>
          <w:szCs w:val="22"/>
        </w:rPr>
        <w:t xml:space="preserve"> </w:t>
      </w:r>
      <w:r w:rsidR="00E120DB">
        <w:rPr>
          <w:sz w:val="22"/>
          <w:szCs w:val="22"/>
        </w:rPr>
        <w:t xml:space="preserve">by </w:t>
      </w:r>
      <w:r w:rsidR="0053453C" w:rsidRPr="002C0DE1">
        <w:rPr>
          <w:sz w:val="22"/>
          <w:szCs w:val="22"/>
        </w:rPr>
        <w:t>the P</w:t>
      </w:r>
      <w:r w:rsidR="002D0B28">
        <w:rPr>
          <w:sz w:val="22"/>
          <w:szCs w:val="22"/>
        </w:rPr>
        <w:t>CC</w:t>
      </w:r>
      <w:r w:rsidR="002665FF">
        <w:rPr>
          <w:sz w:val="22"/>
          <w:szCs w:val="22"/>
        </w:rPr>
        <w:t>.</w:t>
      </w:r>
    </w:p>
    <w:p w14:paraId="36FEC408" w14:textId="77777777" w:rsidR="00150DED" w:rsidRDefault="00150DED" w:rsidP="009706D0">
      <w:pPr>
        <w:rPr>
          <w:sz w:val="22"/>
          <w:szCs w:val="22"/>
        </w:rPr>
      </w:pPr>
    </w:p>
    <w:p w14:paraId="0198C33A" w14:textId="77777777" w:rsidR="004E7BF8" w:rsidRDefault="004E7BF8" w:rsidP="009706D0">
      <w:pPr>
        <w:rPr>
          <w:sz w:val="22"/>
          <w:szCs w:val="22"/>
        </w:rPr>
      </w:pPr>
    </w:p>
    <w:p w14:paraId="26B5D23C" w14:textId="77777777" w:rsidR="00610F89" w:rsidRDefault="00610F89" w:rsidP="009706D0">
      <w:pPr>
        <w:rPr>
          <w:sz w:val="22"/>
          <w:szCs w:val="22"/>
        </w:rPr>
      </w:pPr>
    </w:p>
    <w:p w14:paraId="17FB6E99" w14:textId="7B9010CC" w:rsidR="002008E5" w:rsidRDefault="00BC24B8" w:rsidP="009706D0">
      <w:pPr>
        <w:ind w:left="720" w:hanging="720"/>
        <w:rPr>
          <w:b/>
          <w:sz w:val="22"/>
          <w:szCs w:val="22"/>
        </w:rPr>
      </w:pPr>
      <w:r>
        <w:rPr>
          <w:b/>
          <w:sz w:val="22"/>
          <w:szCs w:val="22"/>
        </w:rPr>
        <w:t>35.</w:t>
      </w:r>
      <w:r>
        <w:rPr>
          <w:b/>
          <w:sz w:val="22"/>
          <w:szCs w:val="22"/>
        </w:rPr>
        <w:tab/>
        <w:t>DRAFT MINUTES OF THE CIEP MEETING DATED 12 DECEMBER 2018</w:t>
      </w:r>
    </w:p>
    <w:p w14:paraId="42E9D8C6" w14:textId="77777777" w:rsidR="00BC24B8" w:rsidRDefault="00BC24B8" w:rsidP="009706D0">
      <w:pPr>
        <w:ind w:left="720" w:hanging="720"/>
        <w:rPr>
          <w:b/>
          <w:sz w:val="22"/>
          <w:szCs w:val="22"/>
        </w:rPr>
      </w:pPr>
    </w:p>
    <w:p w14:paraId="1E0C0E11" w14:textId="427E25CD" w:rsidR="00610F89" w:rsidRDefault="00BC24B8" w:rsidP="00BC24B8">
      <w:pPr>
        <w:rPr>
          <w:sz w:val="22"/>
          <w:szCs w:val="22"/>
        </w:rPr>
      </w:pPr>
      <w:r>
        <w:rPr>
          <w:sz w:val="22"/>
          <w:szCs w:val="22"/>
        </w:rPr>
        <w:t>The draft M</w:t>
      </w:r>
      <w:r w:rsidR="00E94883">
        <w:rPr>
          <w:sz w:val="22"/>
          <w:szCs w:val="22"/>
        </w:rPr>
        <w:t xml:space="preserve">inutes of the CIEP meeting held on 12 December 2018 would be covered in the next Level 1 meeting on </w:t>
      </w:r>
      <w:r w:rsidR="000A39C2">
        <w:rPr>
          <w:sz w:val="22"/>
          <w:szCs w:val="22"/>
        </w:rPr>
        <w:t>26 March 2019 once they had been approved.</w:t>
      </w:r>
    </w:p>
    <w:p w14:paraId="4F847485" w14:textId="77777777" w:rsidR="00610F89" w:rsidRDefault="00610F89" w:rsidP="00BC24B8">
      <w:pPr>
        <w:rPr>
          <w:sz w:val="22"/>
          <w:szCs w:val="22"/>
        </w:rPr>
      </w:pPr>
    </w:p>
    <w:p w14:paraId="0B43772B" w14:textId="77777777" w:rsidR="002D0B28" w:rsidRDefault="002D0B28" w:rsidP="00BC24B8">
      <w:pPr>
        <w:rPr>
          <w:sz w:val="22"/>
          <w:szCs w:val="22"/>
        </w:rPr>
      </w:pPr>
    </w:p>
    <w:p w14:paraId="2777040F" w14:textId="77777777" w:rsidR="00610F89" w:rsidRDefault="00610F89" w:rsidP="00BC24B8">
      <w:pPr>
        <w:rPr>
          <w:sz w:val="22"/>
          <w:szCs w:val="22"/>
        </w:rPr>
      </w:pPr>
    </w:p>
    <w:p w14:paraId="7F8CF0E8" w14:textId="5D02F202" w:rsidR="00BC24B8" w:rsidRDefault="00BC24B8" w:rsidP="00BC24B8">
      <w:pPr>
        <w:rPr>
          <w:b/>
          <w:sz w:val="22"/>
          <w:szCs w:val="22"/>
        </w:rPr>
      </w:pPr>
      <w:r>
        <w:rPr>
          <w:b/>
          <w:sz w:val="22"/>
          <w:szCs w:val="22"/>
        </w:rPr>
        <w:t>36.</w:t>
      </w:r>
      <w:r>
        <w:rPr>
          <w:b/>
          <w:sz w:val="22"/>
          <w:szCs w:val="22"/>
        </w:rPr>
        <w:tab/>
        <w:t>REVENUE MONITORING REPORT 2018/19</w:t>
      </w:r>
    </w:p>
    <w:p w14:paraId="6A7A22C4" w14:textId="77777777" w:rsidR="00221355" w:rsidRDefault="00221355" w:rsidP="00BC24B8">
      <w:pPr>
        <w:rPr>
          <w:b/>
          <w:sz w:val="22"/>
          <w:szCs w:val="22"/>
        </w:rPr>
      </w:pPr>
    </w:p>
    <w:p w14:paraId="17ED5476" w14:textId="77777777" w:rsidR="00B31AA1" w:rsidRDefault="00B31AA1" w:rsidP="00B31AA1">
      <w:pPr>
        <w:rPr>
          <w:sz w:val="22"/>
          <w:szCs w:val="22"/>
        </w:rPr>
      </w:pPr>
      <w:r>
        <w:rPr>
          <w:sz w:val="22"/>
          <w:szCs w:val="22"/>
        </w:rPr>
        <w:t>At the end of December 2018 the overall 2018/19 revenue budget was £0.379m underspent against profile and, the year-end position was predicted to be a net overspend of £0.083m.</w:t>
      </w:r>
    </w:p>
    <w:p w14:paraId="06CDF57B" w14:textId="77777777" w:rsidR="00B31AA1" w:rsidRDefault="00B31AA1" w:rsidP="00B31AA1">
      <w:pPr>
        <w:rPr>
          <w:sz w:val="22"/>
          <w:szCs w:val="22"/>
        </w:rPr>
      </w:pPr>
    </w:p>
    <w:p w14:paraId="47C4EDE2" w14:textId="6181F25F" w:rsidR="00B31AA1" w:rsidRDefault="00B31AA1" w:rsidP="00B31AA1">
      <w:pPr>
        <w:rPr>
          <w:b/>
          <w:sz w:val="22"/>
          <w:szCs w:val="22"/>
        </w:rPr>
      </w:pPr>
      <w:r>
        <w:rPr>
          <w:sz w:val="22"/>
          <w:szCs w:val="22"/>
        </w:rPr>
        <w:t>Linda Waters (LW) highlighted to the PCC that the Force had started the year with 3,770 FTE which was 108 officers below the approved establishment</w:t>
      </w:r>
      <w:r w:rsidR="00005E13">
        <w:rPr>
          <w:sz w:val="22"/>
          <w:szCs w:val="22"/>
        </w:rPr>
        <w:t xml:space="preserve"> although</w:t>
      </w:r>
      <w:r w:rsidR="00F919ED">
        <w:rPr>
          <w:sz w:val="22"/>
          <w:szCs w:val="22"/>
        </w:rPr>
        <w:t xml:space="preserve"> but </w:t>
      </w:r>
      <w:r w:rsidR="00005E13">
        <w:rPr>
          <w:sz w:val="22"/>
          <w:szCs w:val="22"/>
        </w:rPr>
        <w:t xml:space="preserve">there was now </w:t>
      </w:r>
      <w:r w:rsidR="002D0B28">
        <w:rPr>
          <w:sz w:val="22"/>
          <w:szCs w:val="22"/>
        </w:rPr>
        <w:t xml:space="preserve">only </w:t>
      </w:r>
      <w:r w:rsidR="00005E13">
        <w:rPr>
          <w:sz w:val="22"/>
          <w:szCs w:val="22"/>
        </w:rPr>
        <w:t>a shortfall of 59 officers and would be back on target within the next financial year.</w:t>
      </w:r>
      <w:r>
        <w:rPr>
          <w:sz w:val="22"/>
          <w:szCs w:val="22"/>
        </w:rPr>
        <w:t xml:space="preserve">  The Force had planned for the extra demand of police shortages and anticipated the PCC’s approval to recruit 90 case investigators.</w:t>
      </w:r>
    </w:p>
    <w:p w14:paraId="7C7D093A" w14:textId="77777777" w:rsidR="00384AE4" w:rsidRDefault="00384AE4" w:rsidP="00BC24B8">
      <w:pPr>
        <w:rPr>
          <w:sz w:val="22"/>
          <w:szCs w:val="22"/>
        </w:rPr>
      </w:pPr>
    </w:p>
    <w:p w14:paraId="2385479A" w14:textId="0FCD282F" w:rsidR="00005E13" w:rsidRDefault="00F919ED" w:rsidP="00BC24B8">
      <w:pPr>
        <w:rPr>
          <w:sz w:val="22"/>
          <w:szCs w:val="22"/>
        </w:rPr>
      </w:pPr>
      <w:r>
        <w:rPr>
          <w:sz w:val="22"/>
          <w:szCs w:val="22"/>
        </w:rPr>
        <w:t>For p</w:t>
      </w:r>
      <w:r w:rsidR="00005E13">
        <w:rPr>
          <w:sz w:val="22"/>
          <w:szCs w:val="22"/>
        </w:rPr>
        <w:t>olice overtime, the budget was currently overspent by £0.939m which reflected the Force</w:t>
      </w:r>
      <w:r w:rsidR="002D0B28">
        <w:rPr>
          <w:sz w:val="22"/>
          <w:szCs w:val="22"/>
        </w:rPr>
        <w:t>’s</w:t>
      </w:r>
      <w:r w:rsidR="00005E13">
        <w:rPr>
          <w:sz w:val="22"/>
          <w:szCs w:val="22"/>
        </w:rPr>
        <w:t xml:space="preserve"> decision to utilise overtime to help with the shortage of police officer</w:t>
      </w:r>
      <w:r>
        <w:rPr>
          <w:sz w:val="22"/>
          <w:szCs w:val="22"/>
        </w:rPr>
        <w:t>s, compounded</w:t>
      </w:r>
      <w:r w:rsidR="00005E13">
        <w:rPr>
          <w:sz w:val="22"/>
          <w:szCs w:val="22"/>
        </w:rPr>
        <w:t xml:space="preserve"> by the rising demand.  The forecast overspend was £1.2m which was fully funded by the underspend o</w:t>
      </w:r>
      <w:r w:rsidR="002D0B28">
        <w:rPr>
          <w:sz w:val="22"/>
          <w:szCs w:val="22"/>
        </w:rPr>
        <w:t>n</w:t>
      </w:r>
      <w:r w:rsidR="00005E13">
        <w:rPr>
          <w:sz w:val="22"/>
          <w:szCs w:val="22"/>
        </w:rPr>
        <w:t xml:space="preserve"> police pay.</w:t>
      </w:r>
      <w:r w:rsidR="00C921A2">
        <w:rPr>
          <w:sz w:val="22"/>
          <w:szCs w:val="22"/>
        </w:rPr>
        <w:t xml:space="preserve">  </w:t>
      </w:r>
      <w:r w:rsidR="00005E13">
        <w:rPr>
          <w:sz w:val="22"/>
          <w:szCs w:val="22"/>
        </w:rPr>
        <w:t xml:space="preserve">The Force PCSO target strength was 418 FTEs </w:t>
      </w:r>
      <w:r>
        <w:rPr>
          <w:sz w:val="22"/>
          <w:szCs w:val="22"/>
        </w:rPr>
        <w:t xml:space="preserve">which </w:t>
      </w:r>
      <w:r w:rsidR="00005E13">
        <w:rPr>
          <w:sz w:val="22"/>
          <w:szCs w:val="22"/>
        </w:rPr>
        <w:t>consisted of 392 grant/TVP funded posts and 26 joint partnership funded posts.  The Force currently ha</w:t>
      </w:r>
      <w:r w:rsidR="002D0B28">
        <w:rPr>
          <w:sz w:val="22"/>
          <w:szCs w:val="22"/>
        </w:rPr>
        <w:t>d</w:t>
      </w:r>
      <w:r w:rsidR="00005E13">
        <w:rPr>
          <w:sz w:val="22"/>
          <w:szCs w:val="22"/>
        </w:rPr>
        <w:t xml:space="preserve"> 28 joint partnership posts which were occupied.  The current strength was 374 FTE, which was 44 below establishment.</w:t>
      </w:r>
    </w:p>
    <w:p w14:paraId="6D747226" w14:textId="77777777" w:rsidR="00005E13" w:rsidRDefault="00005E13" w:rsidP="00BC24B8">
      <w:pPr>
        <w:rPr>
          <w:sz w:val="22"/>
          <w:szCs w:val="22"/>
        </w:rPr>
      </w:pPr>
    </w:p>
    <w:p w14:paraId="16495E3D" w14:textId="77777777" w:rsidR="00F919ED" w:rsidRDefault="00005E13" w:rsidP="00BC24B8">
      <w:pPr>
        <w:rPr>
          <w:sz w:val="22"/>
          <w:szCs w:val="22"/>
        </w:rPr>
      </w:pPr>
      <w:r>
        <w:rPr>
          <w:sz w:val="22"/>
          <w:szCs w:val="22"/>
        </w:rPr>
        <w:t>At the end of December 2018 the police staff strength was 2,918 FTEs which included agency and case investigators.  The year-end establishment target was 3,011 FTEs which comprised the combined Force operational establishment and OPCC of 2,701 FTEs with a total current strength of 2,642 FTE.  This also included the regional collaborative service units which had an establishment of 310 FTEs and a current strength of 276 FTEs.  This was slightly lower than predicted but this was where next year’s plan comes</w:t>
      </w:r>
      <w:r w:rsidR="00C921A2">
        <w:rPr>
          <w:sz w:val="22"/>
          <w:szCs w:val="22"/>
        </w:rPr>
        <w:t xml:space="preserve"> in</w:t>
      </w:r>
      <w:r>
        <w:rPr>
          <w:sz w:val="22"/>
          <w:szCs w:val="22"/>
        </w:rPr>
        <w:t xml:space="preserve"> if the Force can keep case investigators until the police numbers</w:t>
      </w:r>
      <w:r w:rsidR="00C921A2">
        <w:rPr>
          <w:sz w:val="22"/>
          <w:szCs w:val="22"/>
        </w:rPr>
        <w:t xml:space="preserve"> had</w:t>
      </w:r>
      <w:r>
        <w:rPr>
          <w:sz w:val="22"/>
          <w:szCs w:val="22"/>
        </w:rPr>
        <w:t xml:space="preserve"> increased in certain areas.</w:t>
      </w:r>
      <w:r w:rsidR="00C921A2">
        <w:rPr>
          <w:sz w:val="22"/>
          <w:szCs w:val="22"/>
        </w:rPr>
        <w:t xml:space="preserve">  </w:t>
      </w:r>
    </w:p>
    <w:p w14:paraId="7C63C35B" w14:textId="77777777" w:rsidR="00F919ED" w:rsidRDefault="00F919ED" w:rsidP="00BC24B8">
      <w:pPr>
        <w:rPr>
          <w:sz w:val="22"/>
          <w:szCs w:val="22"/>
        </w:rPr>
      </w:pPr>
    </w:p>
    <w:p w14:paraId="0BC66EF4" w14:textId="17B10043" w:rsidR="00005E13" w:rsidRDefault="00C921A2" w:rsidP="00BC24B8">
      <w:pPr>
        <w:rPr>
          <w:sz w:val="22"/>
          <w:szCs w:val="22"/>
        </w:rPr>
      </w:pPr>
      <w:r>
        <w:rPr>
          <w:sz w:val="22"/>
          <w:szCs w:val="22"/>
        </w:rPr>
        <w:t>T</w:t>
      </w:r>
      <w:r w:rsidR="00005E13">
        <w:rPr>
          <w:sz w:val="22"/>
          <w:szCs w:val="22"/>
        </w:rPr>
        <w:t xml:space="preserve">he </w:t>
      </w:r>
      <w:r w:rsidR="003F10EC">
        <w:rPr>
          <w:sz w:val="22"/>
          <w:szCs w:val="22"/>
        </w:rPr>
        <w:t>Force had decided to bring the Custody provision</w:t>
      </w:r>
      <w:r w:rsidR="00005E13">
        <w:rPr>
          <w:sz w:val="22"/>
          <w:szCs w:val="22"/>
        </w:rPr>
        <w:t xml:space="preserve"> in-house</w:t>
      </w:r>
      <w:r w:rsidR="003F10EC">
        <w:rPr>
          <w:sz w:val="22"/>
          <w:szCs w:val="22"/>
        </w:rPr>
        <w:t xml:space="preserve"> from April 2019 with an extra £0.5m included in the current year’s budget to mitigate the risks in relation to service provision but at this stage, it was not expected to be fully required, hence an underspend of £0.35m was forecasted. </w:t>
      </w:r>
    </w:p>
    <w:p w14:paraId="20E0AE3D" w14:textId="77777777" w:rsidR="00C3673E" w:rsidRDefault="00C3673E" w:rsidP="00BC24B8">
      <w:pPr>
        <w:rPr>
          <w:sz w:val="22"/>
          <w:szCs w:val="22"/>
        </w:rPr>
      </w:pPr>
    </w:p>
    <w:p w14:paraId="668911C1" w14:textId="38C414D4" w:rsidR="00C3673E" w:rsidRDefault="00C3673E" w:rsidP="00BC24B8">
      <w:pPr>
        <w:rPr>
          <w:sz w:val="22"/>
          <w:szCs w:val="22"/>
        </w:rPr>
      </w:pPr>
      <w:r>
        <w:rPr>
          <w:sz w:val="22"/>
          <w:szCs w:val="22"/>
        </w:rPr>
        <w:t>Chief Constable Habgood (CC Habgood) highlighted that Thames Valley Police</w:t>
      </w:r>
      <w:r w:rsidR="00C921A2">
        <w:rPr>
          <w:sz w:val="22"/>
          <w:szCs w:val="22"/>
        </w:rPr>
        <w:t xml:space="preserve"> (TVP)</w:t>
      </w:r>
      <w:r>
        <w:rPr>
          <w:sz w:val="22"/>
          <w:szCs w:val="22"/>
        </w:rPr>
        <w:t xml:space="preserve"> had the highest turnover rate in the country for loss of officers who were now </w:t>
      </w:r>
      <w:r w:rsidR="00C921A2">
        <w:rPr>
          <w:sz w:val="22"/>
          <w:szCs w:val="22"/>
        </w:rPr>
        <w:t xml:space="preserve">either </w:t>
      </w:r>
      <w:r>
        <w:rPr>
          <w:sz w:val="22"/>
          <w:szCs w:val="22"/>
        </w:rPr>
        <w:t xml:space="preserve">taking retirement after 30 years’ service </w:t>
      </w:r>
      <w:r w:rsidR="00C921A2">
        <w:rPr>
          <w:sz w:val="22"/>
          <w:szCs w:val="22"/>
        </w:rPr>
        <w:t xml:space="preserve">or approximately </w:t>
      </w:r>
      <w:r>
        <w:rPr>
          <w:sz w:val="22"/>
          <w:szCs w:val="22"/>
        </w:rPr>
        <w:t xml:space="preserve">100 transfers out to other forces, some of which were going to the MET but </w:t>
      </w:r>
      <w:r w:rsidR="00C921A2">
        <w:rPr>
          <w:sz w:val="22"/>
          <w:szCs w:val="22"/>
        </w:rPr>
        <w:t xml:space="preserve">TVP </w:t>
      </w:r>
      <w:r>
        <w:rPr>
          <w:sz w:val="22"/>
          <w:szCs w:val="22"/>
        </w:rPr>
        <w:t>were losing officers to other forces</w:t>
      </w:r>
      <w:r w:rsidR="00F919ED">
        <w:rPr>
          <w:sz w:val="22"/>
          <w:szCs w:val="22"/>
        </w:rPr>
        <w:t xml:space="preserve"> due to </w:t>
      </w:r>
      <w:r>
        <w:rPr>
          <w:sz w:val="22"/>
          <w:szCs w:val="22"/>
        </w:rPr>
        <w:t>resignations</w:t>
      </w:r>
      <w:r w:rsidR="00F919ED">
        <w:rPr>
          <w:sz w:val="22"/>
          <w:szCs w:val="22"/>
        </w:rPr>
        <w:t xml:space="preserve"> and </w:t>
      </w:r>
      <w:r>
        <w:rPr>
          <w:sz w:val="22"/>
          <w:szCs w:val="22"/>
        </w:rPr>
        <w:t>some officers going back to their roots but it was also the cost of living in the Thames Valley area which also had a key part to play.  T</w:t>
      </w:r>
      <w:r w:rsidR="00C921A2">
        <w:rPr>
          <w:sz w:val="22"/>
          <w:szCs w:val="22"/>
        </w:rPr>
        <w:t>VP</w:t>
      </w:r>
      <w:r>
        <w:rPr>
          <w:sz w:val="22"/>
          <w:szCs w:val="22"/>
        </w:rPr>
        <w:t xml:space="preserve"> do attract people into the Force and </w:t>
      </w:r>
      <w:r w:rsidR="00C921A2">
        <w:rPr>
          <w:sz w:val="22"/>
          <w:szCs w:val="22"/>
        </w:rPr>
        <w:t>(</w:t>
      </w:r>
      <w:r>
        <w:rPr>
          <w:sz w:val="22"/>
          <w:szCs w:val="22"/>
        </w:rPr>
        <w:t>CC Habgood</w:t>
      </w:r>
      <w:r w:rsidR="00C921A2">
        <w:rPr>
          <w:sz w:val="22"/>
          <w:szCs w:val="22"/>
        </w:rPr>
        <w:t>)</w:t>
      </w:r>
      <w:r>
        <w:rPr>
          <w:sz w:val="22"/>
          <w:szCs w:val="22"/>
        </w:rPr>
        <w:t xml:space="preserve"> could provide the numbers </w:t>
      </w:r>
      <w:r w:rsidR="00C921A2">
        <w:rPr>
          <w:sz w:val="22"/>
          <w:szCs w:val="22"/>
        </w:rPr>
        <w:t xml:space="preserve">to the PCC </w:t>
      </w:r>
      <w:r>
        <w:rPr>
          <w:sz w:val="22"/>
          <w:szCs w:val="22"/>
        </w:rPr>
        <w:t>should th</w:t>
      </w:r>
      <w:r w:rsidR="00C921A2">
        <w:rPr>
          <w:sz w:val="22"/>
          <w:szCs w:val="22"/>
        </w:rPr>
        <w:t>is be required</w:t>
      </w:r>
      <w:r>
        <w:rPr>
          <w:sz w:val="22"/>
          <w:szCs w:val="22"/>
        </w:rPr>
        <w:t>.  The PCC noted that this was a great loss for T</w:t>
      </w:r>
      <w:r w:rsidR="00C921A2">
        <w:rPr>
          <w:sz w:val="22"/>
          <w:szCs w:val="22"/>
        </w:rPr>
        <w:t>VP</w:t>
      </w:r>
      <w:r>
        <w:rPr>
          <w:sz w:val="22"/>
          <w:szCs w:val="22"/>
        </w:rPr>
        <w:t>.  CC Habgood noted that T</w:t>
      </w:r>
      <w:r w:rsidR="00C921A2">
        <w:rPr>
          <w:sz w:val="22"/>
          <w:szCs w:val="22"/>
        </w:rPr>
        <w:t>VP</w:t>
      </w:r>
      <w:r>
        <w:rPr>
          <w:sz w:val="22"/>
          <w:szCs w:val="22"/>
        </w:rPr>
        <w:t xml:space="preserve"> had removed the A</w:t>
      </w:r>
      <w:r w:rsidR="00C921A2">
        <w:rPr>
          <w:sz w:val="22"/>
          <w:szCs w:val="22"/>
        </w:rPr>
        <w:t>-</w:t>
      </w:r>
      <w:r>
        <w:rPr>
          <w:sz w:val="22"/>
          <w:szCs w:val="22"/>
        </w:rPr>
        <w:t>Level qualification for internal applicants to join the Force and there would be a change in the future for entry programmes an</w:t>
      </w:r>
      <w:r w:rsidR="004A7AAF">
        <w:rPr>
          <w:sz w:val="22"/>
          <w:szCs w:val="22"/>
        </w:rPr>
        <w:t>d</w:t>
      </w:r>
      <w:r>
        <w:rPr>
          <w:sz w:val="22"/>
          <w:szCs w:val="22"/>
        </w:rPr>
        <w:t xml:space="preserve"> </w:t>
      </w:r>
      <w:r w:rsidR="00C921A2">
        <w:rPr>
          <w:sz w:val="22"/>
          <w:szCs w:val="22"/>
        </w:rPr>
        <w:t>A</w:t>
      </w:r>
      <w:r>
        <w:rPr>
          <w:sz w:val="22"/>
          <w:szCs w:val="22"/>
        </w:rPr>
        <w:t xml:space="preserve">pprenticeships.  PCSOs needed to have a ‘Certificate of </w:t>
      </w:r>
      <w:r w:rsidR="004A7AAF">
        <w:rPr>
          <w:sz w:val="22"/>
          <w:szCs w:val="22"/>
        </w:rPr>
        <w:t>K</w:t>
      </w:r>
      <w:r>
        <w:rPr>
          <w:sz w:val="22"/>
          <w:szCs w:val="22"/>
        </w:rPr>
        <w:t xml:space="preserve">nowledge of Policing’ and the Force </w:t>
      </w:r>
      <w:r w:rsidR="00C921A2">
        <w:rPr>
          <w:sz w:val="22"/>
          <w:szCs w:val="22"/>
        </w:rPr>
        <w:t xml:space="preserve">were looking </w:t>
      </w:r>
      <w:r>
        <w:rPr>
          <w:sz w:val="22"/>
          <w:szCs w:val="22"/>
        </w:rPr>
        <w:t>at funding the cost of this certificate.</w:t>
      </w:r>
      <w:r w:rsidR="003F10EC">
        <w:rPr>
          <w:sz w:val="22"/>
          <w:szCs w:val="22"/>
        </w:rPr>
        <w:t xml:space="preserve">  This would be a challenge for T</w:t>
      </w:r>
      <w:r w:rsidR="00C921A2">
        <w:rPr>
          <w:sz w:val="22"/>
          <w:szCs w:val="22"/>
        </w:rPr>
        <w:t>VP</w:t>
      </w:r>
      <w:r w:rsidR="003F10EC">
        <w:rPr>
          <w:sz w:val="22"/>
          <w:szCs w:val="22"/>
        </w:rPr>
        <w:t xml:space="preserve"> for</w:t>
      </w:r>
      <w:r w:rsidR="00C921A2">
        <w:rPr>
          <w:sz w:val="22"/>
          <w:szCs w:val="22"/>
        </w:rPr>
        <w:t xml:space="preserve"> any</w:t>
      </w:r>
      <w:r w:rsidR="003F10EC">
        <w:rPr>
          <w:sz w:val="22"/>
          <w:szCs w:val="22"/>
        </w:rPr>
        <w:t xml:space="preserve"> PCSOs but </w:t>
      </w:r>
      <w:r w:rsidR="00C921A2">
        <w:rPr>
          <w:sz w:val="22"/>
          <w:szCs w:val="22"/>
        </w:rPr>
        <w:t xml:space="preserve">it was noted that PCSOs </w:t>
      </w:r>
      <w:r w:rsidR="003F10EC">
        <w:rPr>
          <w:sz w:val="22"/>
          <w:szCs w:val="22"/>
        </w:rPr>
        <w:t>do have a lot of experience in their field.</w:t>
      </w:r>
    </w:p>
    <w:p w14:paraId="397CE756" w14:textId="77777777" w:rsidR="00C921A2" w:rsidRDefault="00C921A2" w:rsidP="00BC24B8">
      <w:pPr>
        <w:rPr>
          <w:sz w:val="22"/>
          <w:szCs w:val="22"/>
        </w:rPr>
      </w:pPr>
    </w:p>
    <w:p w14:paraId="20C3AB16" w14:textId="3CD6D0D9" w:rsidR="00221355" w:rsidRDefault="00221355" w:rsidP="00BC24B8">
      <w:pPr>
        <w:rPr>
          <w:sz w:val="22"/>
          <w:szCs w:val="22"/>
        </w:rPr>
      </w:pPr>
      <w:r>
        <w:rPr>
          <w:sz w:val="22"/>
          <w:szCs w:val="22"/>
        </w:rPr>
        <w:t xml:space="preserve">The PCC </w:t>
      </w:r>
      <w:r w:rsidRPr="00384AE4">
        <w:rPr>
          <w:b/>
          <w:sz w:val="22"/>
          <w:szCs w:val="22"/>
        </w:rPr>
        <w:t>NOTED</w:t>
      </w:r>
      <w:r>
        <w:rPr>
          <w:sz w:val="22"/>
          <w:szCs w:val="22"/>
        </w:rPr>
        <w:t xml:space="preserve"> and </w:t>
      </w:r>
      <w:r w:rsidRPr="00384AE4">
        <w:rPr>
          <w:b/>
          <w:sz w:val="22"/>
          <w:szCs w:val="22"/>
        </w:rPr>
        <w:t>APPROVED</w:t>
      </w:r>
      <w:r>
        <w:rPr>
          <w:sz w:val="22"/>
          <w:szCs w:val="22"/>
        </w:rPr>
        <w:t xml:space="preserve"> the contents of the </w:t>
      </w:r>
      <w:r w:rsidR="003F10EC">
        <w:rPr>
          <w:sz w:val="22"/>
          <w:szCs w:val="22"/>
        </w:rPr>
        <w:t xml:space="preserve">Revenue Monitoring </w:t>
      </w:r>
      <w:r>
        <w:rPr>
          <w:sz w:val="22"/>
          <w:szCs w:val="22"/>
        </w:rPr>
        <w:t>Report.</w:t>
      </w:r>
    </w:p>
    <w:p w14:paraId="177ACFBD" w14:textId="77777777" w:rsidR="004A7AAF" w:rsidRPr="00221355" w:rsidRDefault="004A7AAF" w:rsidP="00BC24B8">
      <w:pPr>
        <w:rPr>
          <w:sz w:val="22"/>
          <w:szCs w:val="22"/>
        </w:rPr>
      </w:pPr>
    </w:p>
    <w:p w14:paraId="04FE6AA2" w14:textId="47C4B56D" w:rsidR="00BC24B8" w:rsidRDefault="00BC24B8" w:rsidP="00BC24B8">
      <w:pPr>
        <w:rPr>
          <w:b/>
          <w:sz w:val="22"/>
          <w:szCs w:val="22"/>
        </w:rPr>
      </w:pPr>
      <w:r>
        <w:rPr>
          <w:b/>
          <w:sz w:val="22"/>
          <w:szCs w:val="22"/>
        </w:rPr>
        <w:lastRenderedPageBreak/>
        <w:t>37.</w:t>
      </w:r>
      <w:r>
        <w:rPr>
          <w:b/>
          <w:sz w:val="22"/>
          <w:szCs w:val="22"/>
        </w:rPr>
        <w:tab/>
        <w:t>CAPITAL MONITORING REPORT 2018/19</w:t>
      </w:r>
    </w:p>
    <w:p w14:paraId="75987C7A" w14:textId="77777777" w:rsidR="00221355" w:rsidRDefault="00221355" w:rsidP="00BC24B8">
      <w:pPr>
        <w:rPr>
          <w:b/>
          <w:sz w:val="22"/>
          <w:szCs w:val="22"/>
        </w:rPr>
      </w:pPr>
    </w:p>
    <w:p w14:paraId="3422DCB9" w14:textId="555FEE65" w:rsidR="00221355" w:rsidRDefault="00AA4EAB" w:rsidP="00BC24B8">
      <w:pPr>
        <w:rPr>
          <w:sz w:val="22"/>
          <w:szCs w:val="22"/>
        </w:rPr>
      </w:pPr>
      <w:r>
        <w:rPr>
          <w:sz w:val="22"/>
          <w:szCs w:val="22"/>
        </w:rPr>
        <w:t>The Monitoring of the Annual Capital Budget for 2018/19 was the third report for this financial year which included spend and known commitments up to the end of December 2018.  This report was to be read in conjunction with the Medium Term Capital Plan (MTCP) report.</w:t>
      </w:r>
    </w:p>
    <w:p w14:paraId="4A239C36" w14:textId="77777777" w:rsidR="00AA4EAB" w:rsidRDefault="00AA4EAB" w:rsidP="00BC24B8">
      <w:pPr>
        <w:rPr>
          <w:sz w:val="22"/>
          <w:szCs w:val="22"/>
        </w:rPr>
      </w:pPr>
    </w:p>
    <w:p w14:paraId="73FFE7E3" w14:textId="19BD6488" w:rsidR="00AA4EAB" w:rsidRDefault="00AA4EAB" w:rsidP="00BC24B8">
      <w:pPr>
        <w:rPr>
          <w:sz w:val="22"/>
          <w:szCs w:val="22"/>
        </w:rPr>
      </w:pPr>
      <w:r>
        <w:rPr>
          <w:sz w:val="22"/>
          <w:szCs w:val="22"/>
        </w:rPr>
        <w:t>In July</w:t>
      </w:r>
      <w:r w:rsidR="00F0793F">
        <w:rPr>
          <w:sz w:val="22"/>
          <w:szCs w:val="22"/>
        </w:rPr>
        <w:t>,</w:t>
      </w:r>
      <w:r>
        <w:rPr>
          <w:sz w:val="22"/>
          <w:szCs w:val="22"/>
        </w:rPr>
        <w:t xml:space="preserve"> the PCC approved the updated MTCP budget for 2018/19 at £37.673m.</w:t>
      </w:r>
      <w:r w:rsidR="009C133F">
        <w:rPr>
          <w:sz w:val="22"/>
          <w:szCs w:val="22"/>
        </w:rPr>
        <w:t xml:space="preserve"> which </w:t>
      </w:r>
      <w:r>
        <w:rPr>
          <w:sz w:val="22"/>
          <w:szCs w:val="22"/>
        </w:rPr>
        <w:t>was subsequently uplifted to £41.673m to include support for the CMP project.  To date, including annual provisions, a revised active budget of £27.777m was being drawn upon for progressing schemes.  It was noted that £2</w:t>
      </w:r>
      <w:r w:rsidR="009C133F">
        <w:rPr>
          <w:sz w:val="22"/>
          <w:szCs w:val="22"/>
        </w:rPr>
        <w:t>3.</w:t>
      </w:r>
      <w:r>
        <w:rPr>
          <w:sz w:val="22"/>
          <w:szCs w:val="22"/>
        </w:rPr>
        <w:t>7</w:t>
      </w:r>
      <w:r w:rsidR="00F0793F">
        <w:rPr>
          <w:sz w:val="22"/>
          <w:szCs w:val="22"/>
        </w:rPr>
        <w:t xml:space="preserve">m had already been committed and that </w:t>
      </w:r>
      <w:r>
        <w:rPr>
          <w:sz w:val="22"/>
          <w:szCs w:val="22"/>
        </w:rPr>
        <w:t xml:space="preserve">the report highlighted </w:t>
      </w:r>
      <w:r w:rsidR="009C133F">
        <w:rPr>
          <w:sz w:val="22"/>
          <w:szCs w:val="22"/>
        </w:rPr>
        <w:t xml:space="preserve">an </w:t>
      </w:r>
      <w:r>
        <w:rPr>
          <w:sz w:val="22"/>
          <w:szCs w:val="22"/>
        </w:rPr>
        <w:t>overspend of £1.2m.</w:t>
      </w:r>
      <w:r w:rsidR="00DE79F4">
        <w:rPr>
          <w:sz w:val="22"/>
          <w:szCs w:val="22"/>
        </w:rPr>
        <w:t xml:space="preserve">  There have been many changes since the </w:t>
      </w:r>
      <w:r w:rsidR="00F0793F">
        <w:rPr>
          <w:sz w:val="22"/>
          <w:szCs w:val="22"/>
        </w:rPr>
        <w:t xml:space="preserve">last </w:t>
      </w:r>
      <w:r w:rsidR="00DE79F4">
        <w:rPr>
          <w:sz w:val="22"/>
          <w:szCs w:val="22"/>
        </w:rPr>
        <w:t>report but matters ha</w:t>
      </w:r>
      <w:r w:rsidR="00F0793F">
        <w:rPr>
          <w:sz w:val="22"/>
          <w:szCs w:val="22"/>
        </w:rPr>
        <w:t>d</w:t>
      </w:r>
      <w:r w:rsidR="00DE79F4">
        <w:rPr>
          <w:sz w:val="22"/>
          <w:szCs w:val="22"/>
        </w:rPr>
        <w:t xml:space="preserve"> been relatively quiet over the last </w:t>
      </w:r>
      <w:r w:rsidR="00F0793F">
        <w:rPr>
          <w:sz w:val="22"/>
          <w:szCs w:val="22"/>
        </w:rPr>
        <w:t>few</w:t>
      </w:r>
      <w:r w:rsidR="00DE79F4">
        <w:rPr>
          <w:sz w:val="22"/>
          <w:szCs w:val="22"/>
        </w:rPr>
        <w:t xml:space="preserve"> months.</w:t>
      </w:r>
    </w:p>
    <w:p w14:paraId="2EBEBA35" w14:textId="77777777" w:rsidR="00AA4EAB" w:rsidRDefault="00AA4EAB" w:rsidP="00BC24B8">
      <w:pPr>
        <w:rPr>
          <w:sz w:val="22"/>
          <w:szCs w:val="22"/>
        </w:rPr>
      </w:pPr>
    </w:p>
    <w:p w14:paraId="4D097EF9" w14:textId="11C67506" w:rsidR="00AA4EAB" w:rsidRDefault="00AA4EAB" w:rsidP="00BC24B8">
      <w:pPr>
        <w:rPr>
          <w:sz w:val="22"/>
          <w:szCs w:val="22"/>
        </w:rPr>
      </w:pPr>
      <w:r>
        <w:rPr>
          <w:sz w:val="22"/>
          <w:szCs w:val="22"/>
        </w:rPr>
        <w:t>The report identified initial budget re-phasing of £8.642m into later years which is reflected in the draft MTCP.  It should be recognised that the re-phasing would likely change further over the coming months before the close of the year.</w:t>
      </w:r>
    </w:p>
    <w:p w14:paraId="5A8F64A3" w14:textId="77777777" w:rsidR="00AA4EAB" w:rsidRDefault="00AA4EAB" w:rsidP="00BC24B8">
      <w:pPr>
        <w:rPr>
          <w:b/>
          <w:sz w:val="22"/>
          <w:szCs w:val="22"/>
        </w:rPr>
      </w:pPr>
    </w:p>
    <w:p w14:paraId="5769D4C3" w14:textId="518E98DD" w:rsidR="009C133F" w:rsidRDefault="00DE79F4" w:rsidP="00BC24B8">
      <w:pPr>
        <w:rPr>
          <w:sz w:val="22"/>
          <w:szCs w:val="22"/>
        </w:rPr>
      </w:pPr>
      <w:r>
        <w:rPr>
          <w:sz w:val="22"/>
          <w:szCs w:val="22"/>
        </w:rPr>
        <w:t>The original contractors employed to carry out the refurbishment project for Milton Keynes</w:t>
      </w:r>
      <w:r w:rsidR="009C133F">
        <w:rPr>
          <w:sz w:val="22"/>
          <w:szCs w:val="22"/>
        </w:rPr>
        <w:t xml:space="preserve"> police Station</w:t>
      </w:r>
      <w:r>
        <w:rPr>
          <w:sz w:val="22"/>
          <w:szCs w:val="22"/>
        </w:rPr>
        <w:t xml:space="preserve"> entered administration in November 2018 and their contract was terminated.  Property Services and Procurement commenced negotiations to source another contractor to complete the outstanding work in Milton Keynes and one ha</w:t>
      </w:r>
      <w:r w:rsidR="00F0793F">
        <w:rPr>
          <w:sz w:val="22"/>
          <w:szCs w:val="22"/>
        </w:rPr>
        <w:t>d now been appointed and was</w:t>
      </w:r>
      <w:r>
        <w:rPr>
          <w:sz w:val="22"/>
          <w:szCs w:val="22"/>
        </w:rPr>
        <w:t xml:space="preserve"> due to start in February </w:t>
      </w:r>
      <w:r w:rsidR="00F0793F">
        <w:rPr>
          <w:sz w:val="22"/>
          <w:szCs w:val="22"/>
        </w:rPr>
        <w:t>(</w:t>
      </w:r>
      <w:r>
        <w:rPr>
          <w:sz w:val="22"/>
          <w:szCs w:val="22"/>
        </w:rPr>
        <w:t xml:space="preserve">which unfortunately </w:t>
      </w:r>
      <w:r w:rsidR="00F0793F">
        <w:rPr>
          <w:sz w:val="22"/>
          <w:szCs w:val="22"/>
        </w:rPr>
        <w:t>wa</w:t>
      </w:r>
      <w:r>
        <w:rPr>
          <w:sz w:val="22"/>
          <w:szCs w:val="22"/>
        </w:rPr>
        <w:t>s a further two months delay</w:t>
      </w:r>
      <w:r w:rsidR="00F0793F">
        <w:rPr>
          <w:sz w:val="22"/>
          <w:szCs w:val="22"/>
        </w:rPr>
        <w:t>)</w:t>
      </w:r>
      <w:r>
        <w:rPr>
          <w:sz w:val="22"/>
          <w:szCs w:val="22"/>
        </w:rPr>
        <w:t>.</w:t>
      </w:r>
      <w:r w:rsidR="00AD6F21">
        <w:rPr>
          <w:sz w:val="22"/>
          <w:szCs w:val="22"/>
        </w:rPr>
        <w:t xml:space="preserve">  </w:t>
      </w:r>
    </w:p>
    <w:p w14:paraId="29632F9D" w14:textId="77777777" w:rsidR="009C133F" w:rsidRDefault="009C133F" w:rsidP="00BC24B8">
      <w:pPr>
        <w:rPr>
          <w:sz w:val="22"/>
          <w:szCs w:val="22"/>
        </w:rPr>
      </w:pPr>
    </w:p>
    <w:p w14:paraId="6A1C74F5" w14:textId="121421D9" w:rsidR="00DE79F4" w:rsidRDefault="00AD6F21" w:rsidP="00BC24B8">
      <w:pPr>
        <w:rPr>
          <w:sz w:val="22"/>
          <w:szCs w:val="22"/>
        </w:rPr>
      </w:pPr>
      <w:r>
        <w:rPr>
          <w:sz w:val="22"/>
          <w:szCs w:val="22"/>
        </w:rPr>
        <w:t>The PCC noted that costs were high in relation to Imber Court at Sulhamstead with a possible overspend of up to £0.215m for this project although Property Services were actively trying to manage the project to deliver closer to the budget.  Finance acknowledged this position and ha</w:t>
      </w:r>
      <w:r w:rsidR="00F0793F">
        <w:rPr>
          <w:sz w:val="22"/>
          <w:szCs w:val="22"/>
        </w:rPr>
        <w:t>d</w:t>
      </w:r>
      <w:r>
        <w:rPr>
          <w:sz w:val="22"/>
          <w:szCs w:val="22"/>
        </w:rPr>
        <w:t xml:space="preserve"> recommended the use of Optimism Bias reserve in order to support if this </w:t>
      </w:r>
      <w:r w:rsidR="00F0793F">
        <w:rPr>
          <w:sz w:val="22"/>
          <w:szCs w:val="22"/>
        </w:rPr>
        <w:t>wa</w:t>
      </w:r>
      <w:r>
        <w:rPr>
          <w:sz w:val="22"/>
          <w:szCs w:val="22"/>
        </w:rPr>
        <w:t xml:space="preserve">s required.  The forecast outturn was currently being reviewed. </w:t>
      </w:r>
    </w:p>
    <w:p w14:paraId="271B1B97" w14:textId="77777777" w:rsidR="00DE79F4" w:rsidRDefault="00DE79F4" w:rsidP="00BC24B8">
      <w:pPr>
        <w:rPr>
          <w:sz w:val="22"/>
          <w:szCs w:val="22"/>
        </w:rPr>
      </w:pPr>
    </w:p>
    <w:p w14:paraId="129E1A0B" w14:textId="297EC27E" w:rsidR="00DE79F4" w:rsidRDefault="00DE79F4" w:rsidP="00BC24B8">
      <w:pPr>
        <w:rPr>
          <w:sz w:val="22"/>
          <w:szCs w:val="22"/>
        </w:rPr>
      </w:pPr>
      <w:r>
        <w:rPr>
          <w:sz w:val="22"/>
          <w:szCs w:val="22"/>
        </w:rPr>
        <w:t xml:space="preserve">The Windows 10 project, </w:t>
      </w:r>
      <w:r w:rsidR="00F0793F">
        <w:rPr>
          <w:sz w:val="22"/>
          <w:szCs w:val="22"/>
        </w:rPr>
        <w:t>wa</w:t>
      </w:r>
      <w:r>
        <w:rPr>
          <w:sz w:val="22"/>
          <w:szCs w:val="22"/>
        </w:rPr>
        <w:t>s progressing well.  The project hope</w:t>
      </w:r>
      <w:r w:rsidR="00F0793F">
        <w:rPr>
          <w:sz w:val="22"/>
          <w:szCs w:val="22"/>
        </w:rPr>
        <w:t>d</w:t>
      </w:r>
      <w:r>
        <w:rPr>
          <w:sz w:val="22"/>
          <w:szCs w:val="22"/>
        </w:rPr>
        <w:t xml:space="preserve"> to be delivered on or within budget and </w:t>
      </w:r>
      <w:r w:rsidR="00F0793F">
        <w:rPr>
          <w:sz w:val="22"/>
          <w:szCs w:val="22"/>
        </w:rPr>
        <w:t>wa</w:t>
      </w:r>
      <w:r>
        <w:rPr>
          <w:sz w:val="22"/>
          <w:szCs w:val="22"/>
        </w:rPr>
        <w:t>s expected to be completed by the end of 2019/20 with 1000 lap</w:t>
      </w:r>
      <w:r w:rsidR="00F0793F">
        <w:rPr>
          <w:sz w:val="22"/>
          <w:szCs w:val="22"/>
        </w:rPr>
        <w:t>top</w:t>
      </w:r>
      <w:r>
        <w:rPr>
          <w:sz w:val="22"/>
          <w:szCs w:val="22"/>
        </w:rPr>
        <w:t xml:space="preserve">s being rolled out as part of this project. </w:t>
      </w:r>
    </w:p>
    <w:p w14:paraId="08956E08" w14:textId="77777777" w:rsidR="00DE79F4" w:rsidRDefault="00DE79F4" w:rsidP="00BC24B8">
      <w:pPr>
        <w:rPr>
          <w:sz w:val="22"/>
          <w:szCs w:val="22"/>
        </w:rPr>
      </w:pPr>
    </w:p>
    <w:p w14:paraId="24AF30A9" w14:textId="77777777" w:rsidR="00F0793F" w:rsidRDefault="00DE79F4" w:rsidP="00BC24B8">
      <w:pPr>
        <w:rPr>
          <w:sz w:val="22"/>
          <w:szCs w:val="22"/>
        </w:rPr>
      </w:pPr>
      <w:r>
        <w:rPr>
          <w:sz w:val="22"/>
          <w:szCs w:val="22"/>
        </w:rPr>
        <w:t>The PCC noted that</w:t>
      </w:r>
      <w:r w:rsidR="00AD6F21">
        <w:rPr>
          <w:sz w:val="22"/>
          <w:szCs w:val="22"/>
        </w:rPr>
        <w:t xml:space="preserve"> both</w:t>
      </w:r>
      <w:r>
        <w:rPr>
          <w:sz w:val="22"/>
          <w:szCs w:val="22"/>
        </w:rPr>
        <w:t xml:space="preserve"> </w:t>
      </w:r>
      <w:r w:rsidR="00AD6F21">
        <w:rPr>
          <w:sz w:val="22"/>
          <w:szCs w:val="22"/>
        </w:rPr>
        <w:t xml:space="preserve">the Contact Management Platform (CMP) and Enterprise Resource Planning (ERP) were on schedule.  The CMP programme </w:t>
      </w:r>
      <w:r w:rsidR="00F0793F">
        <w:rPr>
          <w:sz w:val="22"/>
          <w:szCs w:val="22"/>
        </w:rPr>
        <w:t>wa</w:t>
      </w:r>
      <w:r w:rsidR="00AD6F21">
        <w:rPr>
          <w:sz w:val="22"/>
          <w:szCs w:val="22"/>
        </w:rPr>
        <w:t xml:space="preserve">s continuing to work towards a delivery date </w:t>
      </w:r>
      <w:r w:rsidR="00F0793F">
        <w:rPr>
          <w:sz w:val="22"/>
          <w:szCs w:val="22"/>
        </w:rPr>
        <w:t>of</w:t>
      </w:r>
      <w:r w:rsidR="00AD6F21">
        <w:rPr>
          <w:sz w:val="22"/>
          <w:szCs w:val="22"/>
        </w:rPr>
        <w:t xml:space="preserve"> April 2019.  The current projections remain</w:t>
      </w:r>
      <w:r w:rsidR="00F0793F">
        <w:rPr>
          <w:sz w:val="22"/>
          <w:szCs w:val="22"/>
        </w:rPr>
        <w:t>ed</w:t>
      </w:r>
      <w:r w:rsidR="00AD6F21">
        <w:rPr>
          <w:sz w:val="22"/>
          <w:szCs w:val="22"/>
        </w:rPr>
        <w:t xml:space="preserve"> within the overall budget with some contingency expected to be drawn upon.  Work </w:t>
      </w:r>
      <w:r w:rsidR="00F0793F">
        <w:rPr>
          <w:sz w:val="22"/>
          <w:szCs w:val="22"/>
        </w:rPr>
        <w:t>wa</w:t>
      </w:r>
      <w:r w:rsidR="00AD6F21">
        <w:rPr>
          <w:sz w:val="22"/>
          <w:szCs w:val="22"/>
        </w:rPr>
        <w:t xml:space="preserve">s continuing with the programme manager to assess the financial impact of any changes.  </w:t>
      </w:r>
    </w:p>
    <w:p w14:paraId="12F8A281" w14:textId="77777777" w:rsidR="00F0793F" w:rsidRDefault="00F0793F" w:rsidP="00BC24B8">
      <w:pPr>
        <w:rPr>
          <w:sz w:val="22"/>
          <w:szCs w:val="22"/>
        </w:rPr>
      </w:pPr>
    </w:p>
    <w:p w14:paraId="22DAD5FF" w14:textId="15F67F57" w:rsidR="00DE79F4" w:rsidRPr="00DE79F4" w:rsidRDefault="00AD6F21" w:rsidP="00BC24B8">
      <w:pPr>
        <w:rPr>
          <w:sz w:val="22"/>
          <w:szCs w:val="22"/>
        </w:rPr>
      </w:pPr>
      <w:r>
        <w:rPr>
          <w:sz w:val="22"/>
          <w:szCs w:val="22"/>
        </w:rPr>
        <w:t xml:space="preserve">The ERP programme </w:t>
      </w:r>
      <w:r w:rsidR="00F0793F">
        <w:rPr>
          <w:sz w:val="22"/>
          <w:szCs w:val="22"/>
        </w:rPr>
        <w:t>wa</w:t>
      </w:r>
      <w:r>
        <w:rPr>
          <w:sz w:val="22"/>
          <w:szCs w:val="22"/>
        </w:rPr>
        <w:t xml:space="preserve">s currently progressing through the </w:t>
      </w:r>
      <w:r w:rsidR="00F0793F">
        <w:rPr>
          <w:sz w:val="22"/>
          <w:szCs w:val="22"/>
        </w:rPr>
        <w:t>‘</w:t>
      </w:r>
      <w:r>
        <w:rPr>
          <w:sz w:val="22"/>
          <w:szCs w:val="22"/>
        </w:rPr>
        <w:t>build phase</w:t>
      </w:r>
      <w:r w:rsidR="00F0793F">
        <w:rPr>
          <w:sz w:val="22"/>
          <w:szCs w:val="22"/>
        </w:rPr>
        <w:t>’</w:t>
      </w:r>
      <w:r>
        <w:rPr>
          <w:sz w:val="22"/>
          <w:szCs w:val="22"/>
        </w:rPr>
        <w:t xml:space="preserve"> with the</w:t>
      </w:r>
      <w:r w:rsidR="009C133F">
        <w:rPr>
          <w:sz w:val="22"/>
          <w:szCs w:val="22"/>
        </w:rPr>
        <w:t xml:space="preserve"> scheduled</w:t>
      </w:r>
      <w:r>
        <w:rPr>
          <w:sz w:val="22"/>
          <w:szCs w:val="22"/>
        </w:rPr>
        <w:t xml:space="preserve"> ‘go-live’ date being November 2019, but </w:t>
      </w:r>
      <w:r w:rsidR="00F411AD">
        <w:rPr>
          <w:sz w:val="22"/>
          <w:szCs w:val="22"/>
        </w:rPr>
        <w:t xml:space="preserve">this </w:t>
      </w:r>
      <w:r w:rsidR="00F0793F">
        <w:rPr>
          <w:sz w:val="22"/>
          <w:szCs w:val="22"/>
        </w:rPr>
        <w:t>wa</w:t>
      </w:r>
      <w:r>
        <w:rPr>
          <w:sz w:val="22"/>
          <w:szCs w:val="22"/>
        </w:rPr>
        <w:t>s now subject to an outstanding decision on the payroll module.  In addition to the current budget, there was a risk of an increase to third part</w:t>
      </w:r>
      <w:r w:rsidR="00F411AD">
        <w:rPr>
          <w:sz w:val="22"/>
          <w:szCs w:val="22"/>
        </w:rPr>
        <w:t>y</w:t>
      </w:r>
      <w:r>
        <w:rPr>
          <w:sz w:val="22"/>
          <w:szCs w:val="22"/>
        </w:rPr>
        <w:t xml:space="preserve"> costs of £0.3m due to </w:t>
      </w:r>
      <w:r w:rsidR="00F411AD">
        <w:rPr>
          <w:sz w:val="22"/>
          <w:szCs w:val="22"/>
        </w:rPr>
        <w:t xml:space="preserve">the joint </w:t>
      </w:r>
      <w:r>
        <w:rPr>
          <w:sz w:val="22"/>
          <w:szCs w:val="22"/>
        </w:rPr>
        <w:t>Surrey, Sussex and T</w:t>
      </w:r>
      <w:r w:rsidR="00F411AD">
        <w:rPr>
          <w:sz w:val="22"/>
          <w:szCs w:val="22"/>
        </w:rPr>
        <w:t>VP</w:t>
      </w:r>
      <w:r>
        <w:rPr>
          <w:sz w:val="22"/>
          <w:szCs w:val="22"/>
        </w:rPr>
        <w:t xml:space="preserve"> decision to wait for the latest version of the Duties </w:t>
      </w:r>
      <w:r w:rsidR="00F0793F">
        <w:rPr>
          <w:sz w:val="22"/>
          <w:szCs w:val="22"/>
        </w:rPr>
        <w:t>M</w:t>
      </w:r>
      <w:r>
        <w:rPr>
          <w:sz w:val="22"/>
          <w:szCs w:val="22"/>
        </w:rPr>
        <w:t>odule.  The likelihood of this additional payment was now part of the overall commercial decision</w:t>
      </w:r>
      <w:r w:rsidR="00F411AD">
        <w:rPr>
          <w:sz w:val="22"/>
          <w:szCs w:val="22"/>
        </w:rPr>
        <w:t xml:space="preserve"> for ERP</w:t>
      </w:r>
      <w:r>
        <w:rPr>
          <w:sz w:val="22"/>
          <w:szCs w:val="22"/>
        </w:rPr>
        <w:t xml:space="preserve"> especially given the payroll issue.  </w:t>
      </w:r>
    </w:p>
    <w:p w14:paraId="60BFD73C" w14:textId="77777777" w:rsidR="00DE79F4" w:rsidRDefault="00DE79F4" w:rsidP="00BC24B8">
      <w:pPr>
        <w:rPr>
          <w:b/>
          <w:sz w:val="22"/>
          <w:szCs w:val="22"/>
        </w:rPr>
      </w:pPr>
    </w:p>
    <w:p w14:paraId="67ED54BA" w14:textId="1C71AF6B" w:rsidR="00221355" w:rsidRPr="00221355" w:rsidRDefault="00221355" w:rsidP="00BC24B8">
      <w:pPr>
        <w:rPr>
          <w:sz w:val="22"/>
          <w:szCs w:val="22"/>
        </w:rPr>
      </w:pPr>
      <w:r>
        <w:rPr>
          <w:sz w:val="22"/>
          <w:szCs w:val="22"/>
        </w:rPr>
        <w:t xml:space="preserve">The PCC acknowledged the updated 2018/19 Capital Budget and </w:t>
      </w:r>
      <w:r w:rsidRPr="00B31AA1">
        <w:rPr>
          <w:b/>
          <w:sz w:val="22"/>
          <w:szCs w:val="22"/>
        </w:rPr>
        <w:t>NOTED</w:t>
      </w:r>
      <w:r>
        <w:rPr>
          <w:sz w:val="22"/>
          <w:szCs w:val="22"/>
        </w:rPr>
        <w:t xml:space="preserve"> the active budget, spend to date and budget variances.  The PCC </w:t>
      </w:r>
      <w:r w:rsidRPr="00B31AA1">
        <w:rPr>
          <w:b/>
          <w:sz w:val="22"/>
          <w:szCs w:val="22"/>
        </w:rPr>
        <w:t>NOTED</w:t>
      </w:r>
      <w:r>
        <w:rPr>
          <w:sz w:val="22"/>
          <w:szCs w:val="22"/>
        </w:rPr>
        <w:t xml:space="preserve"> the proposed re-phasing of the budget</w:t>
      </w:r>
      <w:r w:rsidR="00F0793F">
        <w:rPr>
          <w:sz w:val="22"/>
          <w:szCs w:val="22"/>
        </w:rPr>
        <w:t>.</w:t>
      </w:r>
    </w:p>
    <w:p w14:paraId="6070E0ED" w14:textId="77777777" w:rsidR="00BC24B8" w:rsidRDefault="00BC24B8" w:rsidP="00BC24B8">
      <w:pPr>
        <w:rPr>
          <w:b/>
          <w:sz w:val="22"/>
          <w:szCs w:val="22"/>
        </w:rPr>
      </w:pPr>
    </w:p>
    <w:p w14:paraId="1BE382F3" w14:textId="77777777" w:rsidR="00610F89" w:rsidRDefault="00610F89" w:rsidP="00BC24B8">
      <w:pPr>
        <w:rPr>
          <w:b/>
          <w:sz w:val="22"/>
          <w:szCs w:val="22"/>
        </w:rPr>
      </w:pPr>
    </w:p>
    <w:p w14:paraId="02237368" w14:textId="77777777" w:rsidR="00610F89" w:rsidRDefault="00610F89" w:rsidP="00BC24B8">
      <w:pPr>
        <w:rPr>
          <w:b/>
          <w:sz w:val="22"/>
          <w:szCs w:val="22"/>
        </w:rPr>
      </w:pPr>
    </w:p>
    <w:p w14:paraId="6571C521" w14:textId="2BEFF250" w:rsidR="00BC24B8" w:rsidRDefault="00BC24B8" w:rsidP="00BC24B8">
      <w:pPr>
        <w:rPr>
          <w:b/>
          <w:sz w:val="22"/>
          <w:szCs w:val="22"/>
        </w:rPr>
      </w:pPr>
      <w:r>
        <w:rPr>
          <w:b/>
          <w:sz w:val="22"/>
          <w:szCs w:val="22"/>
        </w:rPr>
        <w:t>38.</w:t>
      </w:r>
      <w:r>
        <w:rPr>
          <w:b/>
          <w:sz w:val="22"/>
          <w:szCs w:val="22"/>
        </w:rPr>
        <w:tab/>
        <w:t>TREASURY MANAGEMENT REPORT 2018/19</w:t>
      </w:r>
    </w:p>
    <w:p w14:paraId="03C2AF9B" w14:textId="77777777" w:rsidR="00221355" w:rsidRDefault="00221355" w:rsidP="00BC24B8">
      <w:pPr>
        <w:rPr>
          <w:b/>
          <w:sz w:val="22"/>
          <w:szCs w:val="22"/>
        </w:rPr>
      </w:pPr>
    </w:p>
    <w:p w14:paraId="09C28FBC" w14:textId="07FEE46C" w:rsidR="00221355" w:rsidRDefault="0077631B" w:rsidP="00BC24B8">
      <w:pPr>
        <w:rPr>
          <w:sz w:val="22"/>
          <w:szCs w:val="22"/>
        </w:rPr>
      </w:pPr>
      <w:r>
        <w:rPr>
          <w:sz w:val="22"/>
          <w:szCs w:val="22"/>
        </w:rPr>
        <w:t>The PCC approved the Treasury Management Strategy Statement for 2018/19 at the Level 1 meeting on 23 January 2018.  This report explained how the Office of the Police and Crime Commissioner (OPCC) was complying with the agreed strategy and provided performance information for the period 1 April to 31 December 2018.</w:t>
      </w:r>
    </w:p>
    <w:p w14:paraId="0F2F60C1" w14:textId="77777777" w:rsidR="00F0793F" w:rsidRDefault="00F0793F" w:rsidP="00BC24B8">
      <w:pPr>
        <w:rPr>
          <w:sz w:val="22"/>
          <w:szCs w:val="22"/>
        </w:rPr>
      </w:pPr>
    </w:p>
    <w:p w14:paraId="3EDDCAE8" w14:textId="40865126" w:rsidR="0077631B" w:rsidRDefault="00E62792" w:rsidP="00BC24B8">
      <w:pPr>
        <w:rPr>
          <w:sz w:val="22"/>
          <w:szCs w:val="22"/>
        </w:rPr>
      </w:pPr>
      <w:r>
        <w:rPr>
          <w:sz w:val="22"/>
          <w:szCs w:val="22"/>
        </w:rPr>
        <w:t>(</w:t>
      </w:r>
      <w:r w:rsidR="0077631B">
        <w:rPr>
          <w:sz w:val="22"/>
          <w:szCs w:val="22"/>
        </w:rPr>
        <w:t>IT</w:t>
      </w:r>
      <w:r>
        <w:rPr>
          <w:sz w:val="22"/>
          <w:szCs w:val="22"/>
        </w:rPr>
        <w:t>)</w:t>
      </w:r>
      <w:r w:rsidR="0077631B">
        <w:rPr>
          <w:sz w:val="22"/>
          <w:szCs w:val="22"/>
        </w:rPr>
        <w:t xml:space="preserve"> noted that the Economic Update was out of date but the three key issues weighing on the market </w:t>
      </w:r>
      <w:r w:rsidR="00F411AD">
        <w:rPr>
          <w:sz w:val="22"/>
          <w:szCs w:val="22"/>
        </w:rPr>
        <w:t xml:space="preserve">at present </w:t>
      </w:r>
      <w:r w:rsidR="0077631B">
        <w:rPr>
          <w:sz w:val="22"/>
          <w:szCs w:val="22"/>
        </w:rPr>
        <w:t>were Brexit, the US Government shutdown and the Interest Rate Forecast (assuming Brexit was dealt with by 31 March 2019).</w:t>
      </w:r>
    </w:p>
    <w:p w14:paraId="766F8941" w14:textId="77777777" w:rsidR="0077631B" w:rsidRDefault="0077631B" w:rsidP="00BC24B8">
      <w:pPr>
        <w:rPr>
          <w:sz w:val="22"/>
          <w:szCs w:val="22"/>
        </w:rPr>
      </w:pPr>
    </w:p>
    <w:p w14:paraId="7BE3FEEF" w14:textId="77777777" w:rsidR="00F411AD" w:rsidRDefault="0077631B" w:rsidP="00BC24B8">
      <w:pPr>
        <w:rPr>
          <w:sz w:val="22"/>
          <w:szCs w:val="22"/>
        </w:rPr>
      </w:pPr>
      <w:r>
        <w:rPr>
          <w:sz w:val="22"/>
          <w:szCs w:val="22"/>
        </w:rPr>
        <w:lastRenderedPageBreak/>
        <w:t xml:space="preserve">As to the Overall Borrowing Need, the underlying need to borrow was known as the ‘Capital Financing Requirement’ (CFR).  This figure </w:t>
      </w:r>
      <w:r w:rsidR="00F0793F">
        <w:rPr>
          <w:sz w:val="22"/>
          <w:szCs w:val="22"/>
        </w:rPr>
        <w:t>wa</w:t>
      </w:r>
      <w:r>
        <w:rPr>
          <w:sz w:val="22"/>
          <w:szCs w:val="22"/>
        </w:rPr>
        <w:t xml:space="preserve">s a gauge of the underlying debt position.  </w:t>
      </w:r>
      <w:r w:rsidR="008E06D6">
        <w:rPr>
          <w:sz w:val="22"/>
          <w:szCs w:val="22"/>
        </w:rPr>
        <w:t>It represent</w:t>
      </w:r>
      <w:r w:rsidR="00F0793F">
        <w:rPr>
          <w:sz w:val="22"/>
          <w:szCs w:val="22"/>
        </w:rPr>
        <w:t>ed</w:t>
      </w:r>
      <w:r w:rsidR="008E06D6">
        <w:rPr>
          <w:sz w:val="22"/>
          <w:szCs w:val="22"/>
        </w:rPr>
        <w:t xml:space="preserve"> 2017/18 and prior years’ net capital expenditure which had not yet been paid for by revenue or other resources.  </w:t>
      </w:r>
      <w:r w:rsidR="00E62792">
        <w:rPr>
          <w:sz w:val="22"/>
          <w:szCs w:val="22"/>
        </w:rPr>
        <w:t>(</w:t>
      </w:r>
      <w:r w:rsidR="008E06D6">
        <w:rPr>
          <w:sz w:val="22"/>
          <w:szCs w:val="22"/>
        </w:rPr>
        <w:t>IT</w:t>
      </w:r>
      <w:r w:rsidR="00E62792">
        <w:rPr>
          <w:sz w:val="22"/>
          <w:szCs w:val="22"/>
        </w:rPr>
        <w:t>)</w:t>
      </w:r>
      <w:r w:rsidR="008E06D6">
        <w:rPr>
          <w:sz w:val="22"/>
          <w:szCs w:val="22"/>
        </w:rPr>
        <w:t xml:space="preserve"> referred the PCC to Table 1 of the Capital Financing Requirements.  </w:t>
      </w:r>
    </w:p>
    <w:p w14:paraId="559A5664" w14:textId="77777777" w:rsidR="00F411AD" w:rsidRDefault="00F411AD" w:rsidP="00BC24B8">
      <w:pPr>
        <w:rPr>
          <w:sz w:val="22"/>
          <w:szCs w:val="22"/>
        </w:rPr>
      </w:pPr>
    </w:p>
    <w:p w14:paraId="5CD8B8D4" w14:textId="74B818BF" w:rsidR="0077631B" w:rsidRDefault="008E06D6" w:rsidP="00BC24B8">
      <w:pPr>
        <w:rPr>
          <w:sz w:val="22"/>
          <w:szCs w:val="22"/>
        </w:rPr>
      </w:pPr>
      <w:r>
        <w:rPr>
          <w:sz w:val="22"/>
          <w:szCs w:val="22"/>
        </w:rPr>
        <w:t xml:space="preserve">Table 2 set out the Treasury position where there was still a negative net borrowing position.  This meant that the level of cash investments were higher than external borrowing.  </w:t>
      </w:r>
      <w:r w:rsidR="00E62792">
        <w:rPr>
          <w:sz w:val="22"/>
          <w:szCs w:val="22"/>
        </w:rPr>
        <w:t>(</w:t>
      </w:r>
      <w:r>
        <w:rPr>
          <w:sz w:val="22"/>
          <w:szCs w:val="22"/>
        </w:rPr>
        <w:t>IT</w:t>
      </w:r>
      <w:r w:rsidR="00E62792">
        <w:rPr>
          <w:sz w:val="22"/>
          <w:szCs w:val="22"/>
        </w:rPr>
        <w:t>)</w:t>
      </w:r>
      <w:r>
        <w:rPr>
          <w:sz w:val="22"/>
          <w:szCs w:val="22"/>
        </w:rPr>
        <w:t xml:space="preserve"> noted that the organisation was in a positive position using internal cash rather than going out for loans.  The PCC </w:t>
      </w:r>
      <w:r w:rsidR="00AE0A80">
        <w:rPr>
          <w:sz w:val="22"/>
          <w:szCs w:val="22"/>
        </w:rPr>
        <w:t xml:space="preserve">noting </w:t>
      </w:r>
      <w:r>
        <w:rPr>
          <w:sz w:val="22"/>
          <w:szCs w:val="22"/>
        </w:rPr>
        <w:t>that interest rates were not known and it was extremely difficult to predict what they would be.</w:t>
      </w:r>
    </w:p>
    <w:p w14:paraId="291DA7B6" w14:textId="77777777" w:rsidR="008E06D6" w:rsidRDefault="008E06D6" w:rsidP="00BC24B8">
      <w:pPr>
        <w:rPr>
          <w:sz w:val="22"/>
          <w:szCs w:val="22"/>
        </w:rPr>
      </w:pPr>
    </w:p>
    <w:p w14:paraId="73F41B8F" w14:textId="7AA2160F" w:rsidR="00F411AD" w:rsidRDefault="008E06D6" w:rsidP="00BC24B8">
      <w:pPr>
        <w:rPr>
          <w:sz w:val="22"/>
          <w:szCs w:val="22"/>
        </w:rPr>
      </w:pPr>
      <w:r>
        <w:rPr>
          <w:sz w:val="22"/>
          <w:szCs w:val="22"/>
        </w:rPr>
        <w:t xml:space="preserve">Table 4 </w:t>
      </w:r>
      <w:r w:rsidR="00F411AD">
        <w:rPr>
          <w:sz w:val="22"/>
          <w:szCs w:val="22"/>
        </w:rPr>
        <w:t xml:space="preserve">provided information on </w:t>
      </w:r>
      <w:r>
        <w:rPr>
          <w:sz w:val="22"/>
          <w:szCs w:val="22"/>
        </w:rPr>
        <w:t xml:space="preserve">short-term borrowing </w:t>
      </w:r>
      <w:r w:rsidR="00F411AD">
        <w:rPr>
          <w:sz w:val="22"/>
          <w:szCs w:val="22"/>
        </w:rPr>
        <w:t>during 2018/19</w:t>
      </w:r>
      <w:r>
        <w:rPr>
          <w:sz w:val="22"/>
          <w:szCs w:val="22"/>
        </w:rPr>
        <w:t xml:space="preserve">.  </w:t>
      </w:r>
    </w:p>
    <w:p w14:paraId="78BD874A" w14:textId="77777777" w:rsidR="00F411AD" w:rsidRDefault="00F411AD" w:rsidP="00BC24B8">
      <w:pPr>
        <w:rPr>
          <w:sz w:val="22"/>
          <w:szCs w:val="22"/>
        </w:rPr>
      </w:pPr>
    </w:p>
    <w:p w14:paraId="0810C9EF" w14:textId="34E40D1A" w:rsidR="00221355" w:rsidRDefault="00F411AD" w:rsidP="00BC24B8">
      <w:pPr>
        <w:rPr>
          <w:sz w:val="22"/>
          <w:szCs w:val="22"/>
        </w:rPr>
      </w:pPr>
      <w:r>
        <w:rPr>
          <w:sz w:val="22"/>
          <w:szCs w:val="22"/>
        </w:rPr>
        <w:t xml:space="preserve">In terms of investment activity, </w:t>
      </w:r>
      <w:r w:rsidR="008E06D6">
        <w:rPr>
          <w:sz w:val="22"/>
          <w:szCs w:val="22"/>
        </w:rPr>
        <w:t xml:space="preserve">at 31 December 2018 £20m had been invested in a 180 day notice account with Santander, £10m in a six month term deposit with Goldman Sachs International Bank, £22.4m in two separate 1 year deposits with Lloyds Bank and £5, invested with Dundee City Council.  This breakdown was shown in Table 5 of the Fixed and Variable Term Investments.  </w:t>
      </w:r>
    </w:p>
    <w:p w14:paraId="79386AEC" w14:textId="77777777" w:rsidR="008E06D6" w:rsidRDefault="008E06D6" w:rsidP="00BC24B8">
      <w:pPr>
        <w:rPr>
          <w:sz w:val="22"/>
          <w:szCs w:val="22"/>
        </w:rPr>
      </w:pPr>
    </w:p>
    <w:p w14:paraId="14A1DA8E" w14:textId="0481B6FF" w:rsidR="008E06D6" w:rsidRDefault="008E06D6" w:rsidP="00BC24B8">
      <w:pPr>
        <w:rPr>
          <w:sz w:val="22"/>
          <w:szCs w:val="22"/>
        </w:rPr>
      </w:pPr>
      <w:r>
        <w:rPr>
          <w:sz w:val="22"/>
          <w:szCs w:val="22"/>
        </w:rPr>
        <w:t>The current forecast was that interest receipts of around £1.005m would be generated this year which was £0.505m higher than the net interest receipts budget for 2018/19 of £0.500m.  However</w:t>
      </w:r>
      <w:r w:rsidR="00AE0A80">
        <w:rPr>
          <w:sz w:val="22"/>
          <w:szCs w:val="22"/>
        </w:rPr>
        <w:t>,</w:t>
      </w:r>
      <w:r>
        <w:rPr>
          <w:sz w:val="22"/>
          <w:szCs w:val="22"/>
        </w:rPr>
        <w:t xml:space="preserve"> this included a saving of £0.370m by paying </w:t>
      </w:r>
      <w:r w:rsidR="007B4BFD">
        <w:rPr>
          <w:sz w:val="22"/>
          <w:szCs w:val="22"/>
        </w:rPr>
        <w:t>the employers’ contribution to the LGPS, as administered by Bucks County Council, annually rather than monthly.</w:t>
      </w:r>
    </w:p>
    <w:p w14:paraId="0F49A20A" w14:textId="77777777" w:rsidR="00F3638E" w:rsidRDefault="00F3638E" w:rsidP="00BC24B8">
      <w:pPr>
        <w:rPr>
          <w:sz w:val="22"/>
          <w:szCs w:val="22"/>
        </w:rPr>
      </w:pPr>
    </w:p>
    <w:p w14:paraId="16DA1368" w14:textId="1851F48F" w:rsidR="00F3638E" w:rsidRDefault="00E62792" w:rsidP="00BC24B8">
      <w:pPr>
        <w:rPr>
          <w:sz w:val="22"/>
          <w:szCs w:val="22"/>
        </w:rPr>
      </w:pPr>
      <w:r>
        <w:rPr>
          <w:sz w:val="22"/>
          <w:szCs w:val="22"/>
        </w:rPr>
        <w:t>(</w:t>
      </w:r>
      <w:r w:rsidR="00F3638E">
        <w:rPr>
          <w:sz w:val="22"/>
          <w:szCs w:val="22"/>
        </w:rPr>
        <w:t>IT</w:t>
      </w:r>
      <w:r>
        <w:rPr>
          <w:sz w:val="22"/>
          <w:szCs w:val="22"/>
        </w:rPr>
        <w:t>)</w:t>
      </w:r>
      <w:r w:rsidR="00F3638E">
        <w:rPr>
          <w:sz w:val="22"/>
          <w:szCs w:val="22"/>
        </w:rPr>
        <w:t xml:space="preserve"> summarised the paragraph entitled UK Banks – Ring Fencing</w:t>
      </w:r>
      <w:r w:rsidR="00AE0A80">
        <w:rPr>
          <w:sz w:val="22"/>
          <w:szCs w:val="22"/>
        </w:rPr>
        <w:t xml:space="preserve"> and also </w:t>
      </w:r>
      <w:r w:rsidR="00F3638E">
        <w:rPr>
          <w:sz w:val="22"/>
          <w:szCs w:val="22"/>
        </w:rPr>
        <w:t>the Money Market Fund Regulatory Change (MMF) section which was now in the last stages of introducing new regulations.</w:t>
      </w:r>
    </w:p>
    <w:p w14:paraId="2E2EF49E" w14:textId="77777777" w:rsidR="00AE0A80" w:rsidRDefault="00AE0A80" w:rsidP="00BC24B8">
      <w:pPr>
        <w:rPr>
          <w:b/>
          <w:sz w:val="22"/>
          <w:szCs w:val="22"/>
        </w:rPr>
      </w:pPr>
    </w:p>
    <w:p w14:paraId="13B9A384" w14:textId="1F2FB1BF" w:rsidR="00BC24B8" w:rsidRDefault="00221355" w:rsidP="00BC24B8">
      <w:pPr>
        <w:rPr>
          <w:sz w:val="22"/>
          <w:szCs w:val="22"/>
        </w:rPr>
      </w:pPr>
      <w:r>
        <w:rPr>
          <w:sz w:val="22"/>
          <w:szCs w:val="22"/>
        </w:rPr>
        <w:t xml:space="preserve">The PCC </w:t>
      </w:r>
      <w:r w:rsidRPr="0077631B">
        <w:rPr>
          <w:b/>
          <w:sz w:val="22"/>
          <w:szCs w:val="22"/>
        </w:rPr>
        <w:t>NOTED</w:t>
      </w:r>
      <w:r>
        <w:rPr>
          <w:sz w:val="22"/>
          <w:szCs w:val="22"/>
        </w:rPr>
        <w:t xml:space="preserve"> and </w:t>
      </w:r>
      <w:r w:rsidRPr="0077631B">
        <w:rPr>
          <w:b/>
          <w:sz w:val="22"/>
          <w:szCs w:val="22"/>
        </w:rPr>
        <w:t>APPROVED</w:t>
      </w:r>
      <w:r>
        <w:rPr>
          <w:sz w:val="22"/>
          <w:szCs w:val="22"/>
        </w:rPr>
        <w:t xml:space="preserve"> the Treasury Management Report 2018/19.</w:t>
      </w:r>
    </w:p>
    <w:p w14:paraId="7E8EA2F7" w14:textId="77777777" w:rsidR="00221355" w:rsidRDefault="00221355" w:rsidP="00BC24B8">
      <w:pPr>
        <w:rPr>
          <w:b/>
          <w:sz w:val="22"/>
          <w:szCs w:val="22"/>
        </w:rPr>
      </w:pPr>
    </w:p>
    <w:p w14:paraId="250F0911" w14:textId="77777777" w:rsidR="00610F89" w:rsidRDefault="00610F89" w:rsidP="00BC24B8">
      <w:pPr>
        <w:rPr>
          <w:b/>
          <w:sz w:val="22"/>
          <w:szCs w:val="22"/>
        </w:rPr>
      </w:pPr>
    </w:p>
    <w:p w14:paraId="4CDB9211" w14:textId="77777777" w:rsidR="00610F89" w:rsidRDefault="00610F89" w:rsidP="00BC24B8">
      <w:pPr>
        <w:rPr>
          <w:b/>
          <w:sz w:val="22"/>
          <w:szCs w:val="22"/>
        </w:rPr>
      </w:pPr>
    </w:p>
    <w:p w14:paraId="53C2AAC9" w14:textId="2D71AA65" w:rsidR="00BC24B8" w:rsidRDefault="00BC24B8" w:rsidP="00BC24B8">
      <w:pPr>
        <w:rPr>
          <w:b/>
          <w:sz w:val="22"/>
          <w:szCs w:val="22"/>
        </w:rPr>
      </w:pPr>
      <w:r>
        <w:rPr>
          <w:b/>
          <w:sz w:val="22"/>
          <w:szCs w:val="22"/>
        </w:rPr>
        <w:t>39.</w:t>
      </w:r>
      <w:r>
        <w:rPr>
          <w:b/>
          <w:sz w:val="22"/>
          <w:szCs w:val="22"/>
        </w:rPr>
        <w:tab/>
        <w:t>OPCC STRATEGIC DELIVERY PLAN 2018/19</w:t>
      </w:r>
    </w:p>
    <w:p w14:paraId="6E1EC4D2" w14:textId="77777777" w:rsidR="00BC24B8" w:rsidRDefault="00BC24B8" w:rsidP="00BC24B8">
      <w:pPr>
        <w:rPr>
          <w:b/>
          <w:sz w:val="22"/>
          <w:szCs w:val="22"/>
        </w:rPr>
      </w:pPr>
    </w:p>
    <w:p w14:paraId="61EB693C" w14:textId="77777777" w:rsidR="00221355" w:rsidRDefault="00221355" w:rsidP="00BC24B8">
      <w:pPr>
        <w:rPr>
          <w:b/>
          <w:sz w:val="22"/>
          <w:szCs w:val="22"/>
        </w:rPr>
      </w:pPr>
    </w:p>
    <w:p w14:paraId="3045509B" w14:textId="51D0AA8B" w:rsidR="00361394" w:rsidRDefault="00361394" w:rsidP="00BC24B8">
      <w:pPr>
        <w:rPr>
          <w:sz w:val="22"/>
          <w:szCs w:val="22"/>
        </w:rPr>
      </w:pPr>
      <w:r>
        <w:rPr>
          <w:sz w:val="22"/>
          <w:szCs w:val="22"/>
        </w:rPr>
        <w:t xml:space="preserve">The Strategic Delivery Plan comprised of nine separate ‘Business Areas’, each containing a number of different ‘Actions’ together with the ‘Current Status’ on activities and progress associated with the delivery of each </w:t>
      </w:r>
      <w:r w:rsidR="00AE0A80">
        <w:rPr>
          <w:sz w:val="22"/>
          <w:szCs w:val="22"/>
        </w:rPr>
        <w:t>a</w:t>
      </w:r>
      <w:r>
        <w:rPr>
          <w:sz w:val="22"/>
          <w:szCs w:val="22"/>
        </w:rPr>
        <w:t xml:space="preserve">ction to date.  </w:t>
      </w:r>
      <w:r w:rsidR="00E62792">
        <w:rPr>
          <w:sz w:val="22"/>
          <w:szCs w:val="22"/>
        </w:rPr>
        <w:t>(</w:t>
      </w:r>
      <w:r>
        <w:rPr>
          <w:sz w:val="22"/>
          <w:szCs w:val="22"/>
        </w:rPr>
        <w:t>PH</w:t>
      </w:r>
      <w:r w:rsidR="00E62792">
        <w:rPr>
          <w:sz w:val="22"/>
          <w:szCs w:val="22"/>
        </w:rPr>
        <w:t>)</w:t>
      </w:r>
      <w:r>
        <w:rPr>
          <w:sz w:val="22"/>
          <w:szCs w:val="22"/>
        </w:rPr>
        <w:t xml:space="preserve"> went through the 9 amber RAG statuses which showed areas of delays whilst providing an update at today’s meeting.</w:t>
      </w:r>
    </w:p>
    <w:p w14:paraId="136565B5" w14:textId="77777777" w:rsidR="00361394" w:rsidRDefault="00361394" w:rsidP="00BC24B8">
      <w:pPr>
        <w:rPr>
          <w:sz w:val="22"/>
          <w:szCs w:val="22"/>
        </w:rPr>
      </w:pPr>
    </w:p>
    <w:p w14:paraId="1F31118B" w14:textId="65DD2D31" w:rsidR="00221355" w:rsidRDefault="00361394" w:rsidP="00361394">
      <w:pPr>
        <w:ind w:left="1440" w:hanging="1440"/>
        <w:rPr>
          <w:sz w:val="22"/>
          <w:szCs w:val="22"/>
        </w:rPr>
      </w:pPr>
      <w:r>
        <w:rPr>
          <w:sz w:val="22"/>
          <w:szCs w:val="22"/>
        </w:rPr>
        <w:t xml:space="preserve">Ref 3.3 </w:t>
      </w:r>
      <w:r>
        <w:rPr>
          <w:sz w:val="22"/>
          <w:szCs w:val="22"/>
        </w:rPr>
        <w:tab/>
        <w:t xml:space="preserve">The Hub Data Quality (DQ) officer post had to be re-advertised twice but this position had now been filled and the </w:t>
      </w:r>
      <w:r w:rsidR="00AE0A80">
        <w:rPr>
          <w:sz w:val="22"/>
          <w:szCs w:val="22"/>
        </w:rPr>
        <w:t xml:space="preserve">Hub </w:t>
      </w:r>
      <w:r>
        <w:rPr>
          <w:sz w:val="22"/>
          <w:szCs w:val="22"/>
        </w:rPr>
        <w:t>DQ was now catching up on the work.</w:t>
      </w:r>
    </w:p>
    <w:p w14:paraId="7003F1BF" w14:textId="77777777" w:rsidR="00361394" w:rsidRDefault="00361394" w:rsidP="00361394">
      <w:pPr>
        <w:ind w:left="1440" w:hanging="1440"/>
        <w:rPr>
          <w:sz w:val="22"/>
          <w:szCs w:val="22"/>
        </w:rPr>
      </w:pPr>
    </w:p>
    <w:p w14:paraId="625E0E04" w14:textId="0846C63C" w:rsidR="00361394" w:rsidRDefault="00361394" w:rsidP="00361394">
      <w:pPr>
        <w:ind w:left="1440" w:hanging="1440"/>
        <w:rPr>
          <w:sz w:val="22"/>
          <w:szCs w:val="22"/>
        </w:rPr>
      </w:pPr>
      <w:r>
        <w:rPr>
          <w:sz w:val="22"/>
          <w:szCs w:val="22"/>
        </w:rPr>
        <w:t>Ref 3.5</w:t>
      </w:r>
      <w:r>
        <w:rPr>
          <w:sz w:val="22"/>
          <w:szCs w:val="22"/>
        </w:rPr>
        <w:tab/>
        <w:t xml:space="preserve">The Service provider in Milton Keynes for TAP had announced they would be pulling out after March 2019 and negotiations </w:t>
      </w:r>
      <w:r w:rsidR="00AE0A80">
        <w:rPr>
          <w:sz w:val="22"/>
          <w:szCs w:val="22"/>
        </w:rPr>
        <w:t xml:space="preserve">would </w:t>
      </w:r>
      <w:r>
        <w:rPr>
          <w:sz w:val="22"/>
          <w:szCs w:val="22"/>
        </w:rPr>
        <w:t>be made to explore alternative service providers to deliver this programme.  Working with partners and experiencing delays had had a knock on effect.</w:t>
      </w:r>
    </w:p>
    <w:p w14:paraId="6D6E59D0" w14:textId="77777777" w:rsidR="00361394" w:rsidRDefault="00361394" w:rsidP="00361394">
      <w:pPr>
        <w:ind w:left="1440" w:hanging="1440"/>
        <w:rPr>
          <w:sz w:val="22"/>
          <w:szCs w:val="22"/>
        </w:rPr>
      </w:pPr>
    </w:p>
    <w:p w14:paraId="3D7882C0" w14:textId="3947E370" w:rsidR="00361394" w:rsidRPr="00361394" w:rsidRDefault="00361394" w:rsidP="00361394">
      <w:pPr>
        <w:ind w:left="1440" w:hanging="1440"/>
        <w:rPr>
          <w:sz w:val="22"/>
          <w:szCs w:val="22"/>
        </w:rPr>
      </w:pPr>
      <w:r>
        <w:rPr>
          <w:sz w:val="22"/>
          <w:szCs w:val="22"/>
        </w:rPr>
        <w:t>Ref 3.</w:t>
      </w:r>
      <w:r w:rsidR="00D16750">
        <w:rPr>
          <w:sz w:val="22"/>
          <w:szCs w:val="22"/>
        </w:rPr>
        <w:t>6</w:t>
      </w:r>
      <w:r>
        <w:rPr>
          <w:sz w:val="22"/>
          <w:szCs w:val="22"/>
        </w:rPr>
        <w:tab/>
      </w:r>
      <w:r w:rsidR="00D16750">
        <w:rPr>
          <w:sz w:val="22"/>
          <w:szCs w:val="22"/>
        </w:rPr>
        <w:t>Implementing the draft ‘audit’ plan for victim services contracts was not top priority at present as there were other more pressing demands.</w:t>
      </w:r>
    </w:p>
    <w:p w14:paraId="5F03552D" w14:textId="77777777" w:rsidR="00BC24B8" w:rsidRDefault="00BC24B8" w:rsidP="00BC24B8">
      <w:pPr>
        <w:rPr>
          <w:b/>
          <w:sz w:val="22"/>
          <w:szCs w:val="22"/>
        </w:rPr>
      </w:pPr>
    </w:p>
    <w:p w14:paraId="192965EE" w14:textId="3035B21F" w:rsidR="00D16750" w:rsidRDefault="00D16750" w:rsidP="00D16750">
      <w:pPr>
        <w:ind w:left="1440" w:hanging="1440"/>
        <w:rPr>
          <w:sz w:val="22"/>
          <w:szCs w:val="22"/>
        </w:rPr>
      </w:pPr>
      <w:r>
        <w:rPr>
          <w:sz w:val="22"/>
          <w:szCs w:val="22"/>
        </w:rPr>
        <w:t>Ref 3.7</w:t>
      </w:r>
      <w:r>
        <w:rPr>
          <w:sz w:val="22"/>
          <w:szCs w:val="22"/>
        </w:rPr>
        <w:tab/>
        <w:t xml:space="preserve">There were various work procedures outlined in the Operating Manual to keep audit trails and monitor data quality/integrity as well as amendments and updates to be completed. </w:t>
      </w:r>
      <w:r w:rsidR="00E62792">
        <w:rPr>
          <w:sz w:val="22"/>
          <w:szCs w:val="22"/>
        </w:rPr>
        <w:t>(</w:t>
      </w:r>
      <w:r>
        <w:rPr>
          <w:sz w:val="22"/>
          <w:szCs w:val="22"/>
        </w:rPr>
        <w:t>PH</w:t>
      </w:r>
      <w:r w:rsidR="00E62792">
        <w:rPr>
          <w:sz w:val="22"/>
          <w:szCs w:val="22"/>
        </w:rPr>
        <w:t>)</w:t>
      </w:r>
      <w:r>
        <w:rPr>
          <w:sz w:val="22"/>
          <w:szCs w:val="22"/>
        </w:rPr>
        <w:t xml:space="preserve"> confirmed that the OPCC wanted to make sure all of these updates were being carried out.</w:t>
      </w:r>
    </w:p>
    <w:p w14:paraId="188AC0B7" w14:textId="77777777" w:rsidR="00D16750" w:rsidRDefault="00D16750" w:rsidP="00D16750">
      <w:pPr>
        <w:ind w:left="1440" w:hanging="1440"/>
        <w:rPr>
          <w:sz w:val="22"/>
          <w:szCs w:val="22"/>
        </w:rPr>
      </w:pPr>
    </w:p>
    <w:p w14:paraId="667658FA" w14:textId="2BD767E0" w:rsidR="00D16750" w:rsidRDefault="00D16750" w:rsidP="00D16750">
      <w:pPr>
        <w:ind w:left="1440" w:hanging="1440"/>
        <w:rPr>
          <w:sz w:val="22"/>
          <w:szCs w:val="22"/>
        </w:rPr>
      </w:pPr>
      <w:r>
        <w:rPr>
          <w:sz w:val="22"/>
          <w:szCs w:val="22"/>
        </w:rPr>
        <w:t>Ref 3.8</w:t>
      </w:r>
      <w:r>
        <w:rPr>
          <w:sz w:val="22"/>
          <w:szCs w:val="22"/>
        </w:rPr>
        <w:tab/>
        <w:t>The Hub had experienced a huge turnover of staff in the first 6 months but a training plan was now in place and being developed to ensure staff improve</w:t>
      </w:r>
      <w:r w:rsidR="00AE0A80">
        <w:rPr>
          <w:sz w:val="22"/>
          <w:szCs w:val="22"/>
        </w:rPr>
        <w:t>d</w:t>
      </w:r>
      <w:r>
        <w:rPr>
          <w:sz w:val="22"/>
          <w:szCs w:val="22"/>
        </w:rPr>
        <w:t xml:space="preserve"> their performance.</w:t>
      </w:r>
    </w:p>
    <w:p w14:paraId="5C511909" w14:textId="77777777" w:rsidR="00D16750" w:rsidRDefault="00D16750" w:rsidP="00D16750">
      <w:pPr>
        <w:ind w:left="1440" w:hanging="1440"/>
        <w:rPr>
          <w:sz w:val="22"/>
          <w:szCs w:val="22"/>
        </w:rPr>
      </w:pPr>
    </w:p>
    <w:p w14:paraId="0C1B554A" w14:textId="4544C7A3" w:rsidR="00D16750" w:rsidRDefault="00D16750" w:rsidP="00D16750">
      <w:pPr>
        <w:ind w:left="1440" w:hanging="1440"/>
        <w:rPr>
          <w:sz w:val="22"/>
          <w:szCs w:val="22"/>
        </w:rPr>
      </w:pPr>
      <w:r>
        <w:rPr>
          <w:sz w:val="22"/>
          <w:szCs w:val="22"/>
        </w:rPr>
        <w:t>Ref 4.4</w:t>
      </w:r>
      <w:r>
        <w:rPr>
          <w:sz w:val="22"/>
          <w:szCs w:val="22"/>
        </w:rPr>
        <w:tab/>
        <w:t>Preliminary conversations had taken place with TVP Criminal Justice (CJ) leads on alternative models to Home Office AA Framework wh</w:t>
      </w:r>
      <w:r w:rsidR="00AE0A80">
        <w:rPr>
          <w:sz w:val="22"/>
          <w:szCs w:val="22"/>
        </w:rPr>
        <w:t>ich</w:t>
      </w:r>
      <w:r>
        <w:rPr>
          <w:sz w:val="22"/>
          <w:szCs w:val="22"/>
        </w:rPr>
        <w:t xml:space="preserve"> the Deputy PCC had been involved with.  However, there was a still a need to identify someone who could take the lead on this. To monitor and seek an improved model of ensuring adequate Appropriate Adult (AA) provision for vulnerable adults in custody.</w:t>
      </w:r>
    </w:p>
    <w:p w14:paraId="1F5F160A" w14:textId="77777777" w:rsidR="00D16750" w:rsidRDefault="00D16750" w:rsidP="00D16750">
      <w:pPr>
        <w:ind w:left="1440" w:hanging="1440"/>
        <w:rPr>
          <w:sz w:val="22"/>
          <w:szCs w:val="22"/>
        </w:rPr>
      </w:pPr>
    </w:p>
    <w:p w14:paraId="54E3D6B5" w14:textId="1F8424F5" w:rsidR="00D16750" w:rsidRDefault="00D16750" w:rsidP="00D16750">
      <w:pPr>
        <w:ind w:left="1440" w:hanging="1440"/>
        <w:rPr>
          <w:sz w:val="22"/>
          <w:szCs w:val="22"/>
        </w:rPr>
      </w:pPr>
      <w:r>
        <w:rPr>
          <w:sz w:val="22"/>
          <w:szCs w:val="22"/>
        </w:rPr>
        <w:t>Ref 9.6</w:t>
      </w:r>
      <w:r>
        <w:rPr>
          <w:sz w:val="22"/>
          <w:szCs w:val="22"/>
        </w:rPr>
        <w:tab/>
        <w:t xml:space="preserve">The OPCC were aware of the requirements of GDPR </w:t>
      </w:r>
      <w:r w:rsidR="00AE0A80">
        <w:rPr>
          <w:sz w:val="22"/>
          <w:szCs w:val="22"/>
        </w:rPr>
        <w:t xml:space="preserve">which </w:t>
      </w:r>
      <w:r>
        <w:rPr>
          <w:sz w:val="22"/>
          <w:szCs w:val="22"/>
        </w:rPr>
        <w:t xml:space="preserve">had </w:t>
      </w:r>
      <w:r w:rsidR="00AE0A80">
        <w:rPr>
          <w:sz w:val="22"/>
          <w:szCs w:val="22"/>
        </w:rPr>
        <w:t xml:space="preserve">been </w:t>
      </w:r>
      <w:r>
        <w:rPr>
          <w:sz w:val="22"/>
          <w:szCs w:val="22"/>
        </w:rPr>
        <w:t xml:space="preserve">put in place and were fine tuning the </w:t>
      </w:r>
      <w:r w:rsidR="001610BB">
        <w:rPr>
          <w:sz w:val="22"/>
          <w:szCs w:val="22"/>
        </w:rPr>
        <w:t>remaining procedures</w:t>
      </w:r>
      <w:r>
        <w:rPr>
          <w:sz w:val="22"/>
          <w:szCs w:val="22"/>
        </w:rPr>
        <w:t>.</w:t>
      </w:r>
    </w:p>
    <w:p w14:paraId="6CCF4BCE" w14:textId="77777777" w:rsidR="00D16750" w:rsidRDefault="00D16750" w:rsidP="00D16750">
      <w:pPr>
        <w:ind w:left="1440" w:hanging="1440"/>
        <w:rPr>
          <w:sz w:val="22"/>
          <w:szCs w:val="22"/>
        </w:rPr>
      </w:pPr>
    </w:p>
    <w:p w14:paraId="1DDD517B" w14:textId="1A0C5EAE" w:rsidR="00D16750" w:rsidRDefault="00D16750" w:rsidP="00D16750">
      <w:pPr>
        <w:ind w:left="1440" w:hanging="1440"/>
        <w:rPr>
          <w:sz w:val="22"/>
          <w:szCs w:val="22"/>
        </w:rPr>
      </w:pPr>
      <w:r>
        <w:rPr>
          <w:sz w:val="22"/>
          <w:szCs w:val="22"/>
        </w:rPr>
        <w:t>Ref 9.7</w:t>
      </w:r>
      <w:r>
        <w:rPr>
          <w:sz w:val="22"/>
          <w:szCs w:val="22"/>
        </w:rPr>
        <w:tab/>
      </w:r>
      <w:r w:rsidR="001610BB">
        <w:rPr>
          <w:sz w:val="22"/>
          <w:szCs w:val="22"/>
        </w:rPr>
        <w:t>The Review of the Domestic Homicide Review (DHR) guidance for PCCs was an ongoing piece of work but was low priority due to more urgent work.</w:t>
      </w:r>
    </w:p>
    <w:p w14:paraId="32415EFF" w14:textId="77777777" w:rsidR="001610BB" w:rsidRDefault="001610BB" w:rsidP="00D16750">
      <w:pPr>
        <w:ind w:left="1440" w:hanging="1440"/>
        <w:rPr>
          <w:sz w:val="22"/>
          <w:szCs w:val="22"/>
        </w:rPr>
      </w:pPr>
    </w:p>
    <w:p w14:paraId="10E620D3" w14:textId="19AEE051" w:rsidR="001610BB" w:rsidRDefault="00E62792" w:rsidP="00D16750">
      <w:pPr>
        <w:ind w:left="1440" w:hanging="1440"/>
        <w:rPr>
          <w:sz w:val="22"/>
          <w:szCs w:val="22"/>
        </w:rPr>
      </w:pPr>
      <w:r>
        <w:rPr>
          <w:sz w:val="22"/>
          <w:szCs w:val="22"/>
        </w:rPr>
        <w:t>(</w:t>
      </w:r>
      <w:r w:rsidR="001610BB">
        <w:rPr>
          <w:sz w:val="22"/>
          <w:szCs w:val="22"/>
        </w:rPr>
        <w:t>PH</w:t>
      </w:r>
      <w:r>
        <w:rPr>
          <w:sz w:val="22"/>
          <w:szCs w:val="22"/>
        </w:rPr>
        <w:t>)</w:t>
      </w:r>
      <w:r w:rsidR="001610BB">
        <w:rPr>
          <w:sz w:val="22"/>
          <w:szCs w:val="22"/>
        </w:rPr>
        <w:t xml:space="preserve"> </w:t>
      </w:r>
      <w:r w:rsidR="007761F4">
        <w:rPr>
          <w:sz w:val="22"/>
          <w:szCs w:val="22"/>
        </w:rPr>
        <w:t>re</w:t>
      </w:r>
      <w:r w:rsidR="001610BB">
        <w:rPr>
          <w:sz w:val="22"/>
          <w:szCs w:val="22"/>
        </w:rPr>
        <w:t xml:space="preserve">assured the PCC that </w:t>
      </w:r>
      <w:r w:rsidR="00707A5B">
        <w:rPr>
          <w:sz w:val="22"/>
          <w:szCs w:val="22"/>
        </w:rPr>
        <w:t xml:space="preserve">all </w:t>
      </w:r>
      <w:r w:rsidR="001610BB">
        <w:rPr>
          <w:sz w:val="22"/>
          <w:szCs w:val="22"/>
        </w:rPr>
        <w:t>the key elements and services to the public were still being delivered.</w:t>
      </w:r>
    </w:p>
    <w:p w14:paraId="4E8B98F9" w14:textId="77777777" w:rsidR="00D16750" w:rsidRDefault="00D16750" w:rsidP="00D16750">
      <w:pPr>
        <w:ind w:left="1440" w:hanging="1440"/>
        <w:rPr>
          <w:sz w:val="22"/>
          <w:szCs w:val="22"/>
        </w:rPr>
      </w:pPr>
    </w:p>
    <w:p w14:paraId="15ED03F3" w14:textId="77777777" w:rsidR="00D16750" w:rsidRPr="00D16750" w:rsidRDefault="00D16750" w:rsidP="00BC24B8">
      <w:pPr>
        <w:rPr>
          <w:sz w:val="22"/>
          <w:szCs w:val="22"/>
        </w:rPr>
      </w:pPr>
    </w:p>
    <w:p w14:paraId="410EDB76" w14:textId="02548BA8" w:rsidR="00221355" w:rsidRDefault="00221355" w:rsidP="00BC24B8">
      <w:pPr>
        <w:rPr>
          <w:sz w:val="22"/>
          <w:szCs w:val="22"/>
        </w:rPr>
      </w:pPr>
      <w:r>
        <w:rPr>
          <w:sz w:val="22"/>
          <w:szCs w:val="22"/>
        </w:rPr>
        <w:t xml:space="preserve">The PCC </w:t>
      </w:r>
      <w:r w:rsidRPr="00361394">
        <w:rPr>
          <w:b/>
          <w:sz w:val="22"/>
          <w:szCs w:val="22"/>
        </w:rPr>
        <w:t>NOTED</w:t>
      </w:r>
      <w:r>
        <w:rPr>
          <w:sz w:val="22"/>
          <w:szCs w:val="22"/>
        </w:rPr>
        <w:t xml:space="preserve"> the progress with the OPCC Strategic Delivery Plan 2018/19</w:t>
      </w:r>
      <w:r w:rsidR="001610BB">
        <w:rPr>
          <w:sz w:val="22"/>
          <w:szCs w:val="22"/>
        </w:rPr>
        <w:t>.</w:t>
      </w:r>
    </w:p>
    <w:p w14:paraId="488DC682" w14:textId="77777777" w:rsidR="00221355" w:rsidRPr="00221355" w:rsidRDefault="00221355" w:rsidP="00BC24B8">
      <w:pPr>
        <w:rPr>
          <w:sz w:val="22"/>
          <w:szCs w:val="22"/>
        </w:rPr>
      </w:pPr>
    </w:p>
    <w:p w14:paraId="196681B9" w14:textId="77777777" w:rsidR="00610F89" w:rsidRDefault="00610F89" w:rsidP="00BC24B8">
      <w:pPr>
        <w:rPr>
          <w:b/>
          <w:sz w:val="22"/>
          <w:szCs w:val="22"/>
        </w:rPr>
      </w:pPr>
    </w:p>
    <w:p w14:paraId="09EC959A" w14:textId="77777777" w:rsidR="00361394" w:rsidRDefault="00361394" w:rsidP="00BC24B8">
      <w:pPr>
        <w:rPr>
          <w:b/>
          <w:sz w:val="22"/>
          <w:szCs w:val="22"/>
        </w:rPr>
      </w:pPr>
    </w:p>
    <w:p w14:paraId="5433FE13" w14:textId="77777777" w:rsidR="00361394" w:rsidRDefault="00361394" w:rsidP="00BC24B8">
      <w:pPr>
        <w:rPr>
          <w:b/>
          <w:sz w:val="22"/>
          <w:szCs w:val="22"/>
        </w:rPr>
      </w:pPr>
    </w:p>
    <w:p w14:paraId="1DE7876D" w14:textId="681DBAC9" w:rsidR="00BC24B8" w:rsidRDefault="00BC24B8" w:rsidP="00BC24B8">
      <w:pPr>
        <w:rPr>
          <w:b/>
          <w:sz w:val="22"/>
          <w:szCs w:val="22"/>
        </w:rPr>
      </w:pPr>
      <w:r>
        <w:rPr>
          <w:b/>
          <w:sz w:val="22"/>
          <w:szCs w:val="22"/>
        </w:rPr>
        <w:t>40.</w:t>
      </w:r>
      <w:r>
        <w:rPr>
          <w:b/>
          <w:sz w:val="22"/>
          <w:szCs w:val="22"/>
        </w:rPr>
        <w:tab/>
        <w:t>CAPITAL STRATEGY 2019/20 TO 2022/23</w:t>
      </w:r>
    </w:p>
    <w:p w14:paraId="56431F89" w14:textId="77777777" w:rsidR="00BC24B8" w:rsidRDefault="00BC24B8" w:rsidP="00BC24B8">
      <w:pPr>
        <w:rPr>
          <w:b/>
          <w:sz w:val="22"/>
          <w:szCs w:val="22"/>
        </w:rPr>
      </w:pPr>
    </w:p>
    <w:p w14:paraId="68E8B5DE" w14:textId="0EC12860" w:rsidR="00CF0038" w:rsidRDefault="00CF0038" w:rsidP="00BC24B8">
      <w:pPr>
        <w:rPr>
          <w:sz w:val="22"/>
          <w:szCs w:val="22"/>
        </w:rPr>
      </w:pPr>
      <w:r>
        <w:rPr>
          <w:sz w:val="22"/>
          <w:szCs w:val="22"/>
        </w:rPr>
        <w:t>L</w:t>
      </w:r>
      <w:r w:rsidR="001610BB">
        <w:rPr>
          <w:sz w:val="22"/>
          <w:szCs w:val="22"/>
        </w:rPr>
        <w:t>ocal authorities</w:t>
      </w:r>
      <w:r>
        <w:rPr>
          <w:sz w:val="22"/>
          <w:szCs w:val="22"/>
        </w:rPr>
        <w:t xml:space="preserve"> are required by regulation </w:t>
      </w:r>
      <w:r w:rsidR="001610BB">
        <w:rPr>
          <w:sz w:val="22"/>
          <w:szCs w:val="22"/>
        </w:rPr>
        <w:t>to have regard to the Prudential Code when carrying out their duties under Part 1 of the Local Government Act 2003</w:t>
      </w:r>
      <w:r>
        <w:rPr>
          <w:sz w:val="22"/>
          <w:szCs w:val="22"/>
        </w:rPr>
        <w:t>. The Capital Strategy is intended to give a high level overview of how capital expenditure, capital financing and treasury management activity contribute to the provision of services along with an overview of how associated risk is managed and the implications for future financial sustainability.</w:t>
      </w:r>
    </w:p>
    <w:p w14:paraId="0D5D710C" w14:textId="77777777" w:rsidR="00CF0038" w:rsidRDefault="00CF0038" w:rsidP="00BC24B8">
      <w:pPr>
        <w:rPr>
          <w:sz w:val="22"/>
          <w:szCs w:val="22"/>
        </w:rPr>
      </w:pPr>
    </w:p>
    <w:p w14:paraId="09E95E36" w14:textId="77777777" w:rsidR="00DF3D4C" w:rsidRDefault="00AC169A" w:rsidP="00BC24B8">
      <w:pPr>
        <w:rPr>
          <w:sz w:val="22"/>
          <w:szCs w:val="22"/>
        </w:rPr>
      </w:pPr>
      <w:r>
        <w:rPr>
          <w:sz w:val="22"/>
          <w:szCs w:val="22"/>
        </w:rPr>
        <w:t xml:space="preserve">The PCC noted </w:t>
      </w:r>
      <w:r w:rsidR="0004389C">
        <w:rPr>
          <w:sz w:val="22"/>
          <w:szCs w:val="22"/>
        </w:rPr>
        <w:t xml:space="preserve">that </w:t>
      </w:r>
      <w:r>
        <w:rPr>
          <w:sz w:val="22"/>
          <w:szCs w:val="22"/>
        </w:rPr>
        <w:t xml:space="preserve">TVP had got rid of a lot </w:t>
      </w:r>
      <w:r w:rsidR="0004389C">
        <w:rPr>
          <w:sz w:val="22"/>
          <w:szCs w:val="22"/>
        </w:rPr>
        <w:t xml:space="preserve">their </w:t>
      </w:r>
      <w:r>
        <w:rPr>
          <w:sz w:val="22"/>
          <w:szCs w:val="22"/>
        </w:rPr>
        <w:t>property while the Local Authorities were buying</w:t>
      </w:r>
      <w:r w:rsidR="0004389C">
        <w:rPr>
          <w:sz w:val="22"/>
          <w:szCs w:val="22"/>
        </w:rPr>
        <w:t>.  This was cause for concern for the PCC.</w:t>
      </w:r>
      <w:r w:rsidR="00DF3D4C">
        <w:rPr>
          <w:sz w:val="22"/>
          <w:szCs w:val="22"/>
        </w:rPr>
        <w:t xml:space="preserve">  </w:t>
      </w:r>
    </w:p>
    <w:p w14:paraId="3B7821DE" w14:textId="77777777" w:rsidR="00DF3D4C" w:rsidRDefault="00DF3D4C" w:rsidP="00BC24B8">
      <w:pPr>
        <w:rPr>
          <w:sz w:val="22"/>
          <w:szCs w:val="22"/>
        </w:rPr>
      </w:pPr>
    </w:p>
    <w:p w14:paraId="466AD2E8" w14:textId="58CFEB06" w:rsidR="00707A5B" w:rsidRDefault="00707A5B" w:rsidP="00BC24B8">
      <w:pPr>
        <w:rPr>
          <w:sz w:val="22"/>
          <w:szCs w:val="22"/>
        </w:rPr>
      </w:pPr>
      <w:r>
        <w:rPr>
          <w:sz w:val="22"/>
          <w:szCs w:val="22"/>
        </w:rPr>
        <w:t>The Capital Strategy document sets out the scope of this document and the definition of capital expenditure and was a key document for the P</w:t>
      </w:r>
      <w:r w:rsidR="00DF3D4C">
        <w:rPr>
          <w:sz w:val="22"/>
          <w:szCs w:val="22"/>
        </w:rPr>
        <w:t>C</w:t>
      </w:r>
      <w:r>
        <w:rPr>
          <w:sz w:val="22"/>
          <w:szCs w:val="22"/>
        </w:rPr>
        <w:t>C and TVP forming part of the authority’s integrated revenue, capital and balance sheet planning.</w:t>
      </w:r>
    </w:p>
    <w:p w14:paraId="0B29DB50" w14:textId="77777777" w:rsidR="00707A5B" w:rsidRDefault="00707A5B" w:rsidP="00BC24B8">
      <w:pPr>
        <w:rPr>
          <w:sz w:val="22"/>
          <w:szCs w:val="22"/>
        </w:rPr>
      </w:pPr>
    </w:p>
    <w:p w14:paraId="15B5486A" w14:textId="77777777" w:rsidR="00CF0038" w:rsidRDefault="00707A5B" w:rsidP="00BC24B8">
      <w:pPr>
        <w:rPr>
          <w:sz w:val="22"/>
          <w:szCs w:val="22"/>
        </w:rPr>
      </w:pPr>
      <w:r>
        <w:rPr>
          <w:sz w:val="22"/>
          <w:szCs w:val="22"/>
        </w:rPr>
        <w:t>The PCC produce</w:t>
      </w:r>
      <w:r w:rsidR="00DF3D4C">
        <w:rPr>
          <w:sz w:val="22"/>
          <w:szCs w:val="22"/>
        </w:rPr>
        <w:t>d</w:t>
      </w:r>
      <w:r>
        <w:rPr>
          <w:sz w:val="22"/>
          <w:szCs w:val="22"/>
        </w:rPr>
        <w:t xml:space="preserve"> his Police &amp; Crime Plan every four years covering the period 2018/19 to 2022/23.  The Chief Constable produced a Force Commitment which was supported by Annual Delivery Plans. To support these overarching documents</w:t>
      </w:r>
      <w:r w:rsidR="00DF3D4C">
        <w:rPr>
          <w:sz w:val="22"/>
          <w:szCs w:val="22"/>
        </w:rPr>
        <w:t>,</w:t>
      </w:r>
      <w:r>
        <w:rPr>
          <w:sz w:val="22"/>
          <w:szCs w:val="22"/>
        </w:rPr>
        <w:t xml:space="preserve"> a number of plans were in place such as the Asset Management Plan, MTFP, MTCP, Treasury Management and the Annual Investment Strategy. </w:t>
      </w:r>
      <w:r w:rsidR="00DF3D4C">
        <w:rPr>
          <w:sz w:val="22"/>
          <w:szCs w:val="22"/>
        </w:rPr>
        <w:t xml:space="preserve"> </w:t>
      </w:r>
    </w:p>
    <w:p w14:paraId="4B50084E" w14:textId="77777777" w:rsidR="00CF0038" w:rsidRDefault="00CF0038" w:rsidP="00BC24B8">
      <w:pPr>
        <w:rPr>
          <w:sz w:val="22"/>
          <w:szCs w:val="22"/>
        </w:rPr>
      </w:pPr>
    </w:p>
    <w:p w14:paraId="558C2B15" w14:textId="32C9ED3D" w:rsidR="00707A5B" w:rsidRDefault="00E62792" w:rsidP="00BC24B8">
      <w:pPr>
        <w:rPr>
          <w:sz w:val="22"/>
          <w:szCs w:val="22"/>
        </w:rPr>
      </w:pPr>
      <w:r>
        <w:rPr>
          <w:sz w:val="22"/>
          <w:szCs w:val="22"/>
        </w:rPr>
        <w:t>(</w:t>
      </w:r>
      <w:r w:rsidR="00707A5B">
        <w:rPr>
          <w:sz w:val="22"/>
          <w:szCs w:val="22"/>
        </w:rPr>
        <w:t>IT</w:t>
      </w:r>
      <w:r>
        <w:rPr>
          <w:sz w:val="22"/>
          <w:szCs w:val="22"/>
        </w:rPr>
        <w:t>)</w:t>
      </w:r>
      <w:r w:rsidR="00707A5B">
        <w:rPr>
          <w:sz w:val="22"/>
          <w:szCs w:val="22"/>
        </w:rPr>
        <w:t xml:space="preserve"> ran through the document making reference to Capital Sustainability noting that beyond the next </w:t>
      </w:r>
      <w:r w:rsidR="00DF3D4C">
        <w:rPr>
          <w:sz w:val="22"/>
          <w:szCs w:val="22"/>
        </w:rPr>
        <w:t>four</w:t>
      </w:r>
      <w:r w:rsidR="00707A5B">
        <w:rPr>
          <w:sz w:val="22"/>
          <w:szCs w:val="22"/>
        </w:rPr>
        <w:t xml:space="preserve"> years, almost all capital investment would have </w:t>
      </w:r>
      <w:r w:rsidR="00CF0038">
        <w:rPr>
          <w:sz w:val="22"/>
          <w:szCs w:val="22"/>
        </w:rPr>
        <w:t xml:space="preserve">to </w:t>
      </w:r>
      <w:r w:rsidR="00707A5B">
        <w:rPr>
          <w:sz w:val="22"/>
          <w:szCs w:val="22"/>
        </w:rPr>
        <w:t>be funded from revenue contributions.  This was expected to be during a continued period of revenue pressure and uncertainty.</w:t>
      </w:r>
      <w:r w:rsidR="00755FA6">
        <w:rPr>
          <w:sz w:val="22"/>
          <w:szCs w:val="22"/>
        </w:rPr>
        <w:t xml:space="preserve">  The capital </w:t>
      </w:r>
      <w:r w:rsidR="00CF0038">
        <w:rPr>
          <w:sz w:val="22"/>
          <w:szCs w:val="22"/>
        </w:rPr>
        <w:t xml:space="preserve">programme </w:t>
      </w:r>
      <w:r w:rsidR="00755FA6">
        <w:rPr>
          <w:sz w:val="22"/>
          <w:szCs w:val="22"/>
        </w:rPr>
        <w:t xml:space="preserve">in TVP was changing </w:t>
      </w:r>
      <w:r w:rsidR="00CF0038">
        <w:rPr>
          <w:sz w:val="22"/>
          <w:szCs w:val="22"/>
        </w:rPr>
        <w:t xml:space="preserve">with </w:t>
      </w:r>
      <w:r w:rsidR="00755FA6">
        <w:rPr>
          <w:sz w:val="22"/>
          <w:szCs w:val="22"/>
        </w:rPr>
        <w:t>less relian</w:t>
      </w:r>
      <w:r w:rsidR="00CF0038">
        <w:rPr>
          <w:sz w:val="22"/>
          <w:szCs w:val="22"/>
        </w:rPr>
        <w:t>ce</w:t>
      </w:r>
      <w:r w:rsidR="00755FA6">
        <w:rPr>
          <w:sz w:val="22"/>
          <w:szCs w:val="22"/>
        </w:rPr>
        <w:t xml:space="preserve"> on accumulated capital</w:t>
      </w:r>
      <w:r w:rsidR="00CF0038">
        <w:rPr>
          <w:sz w:val="22"/>
          <w:szCs w:val="22"/>
        </w:rPr>
        <w:t xml:space="preserve"> grants and reserves and more </w:t>
      </w:r>
      <w:r w:rsidR="00755FA6">
        <w:rPr>
          <w:sz w:val="22"/>
          <w:szCs w:val="22"/>
        </w:rPr>
        <w:t xml:space="preserve">dependent on </w:t>
      </w:r>
      <w:r w:rsidR="00CF0038">
        <w:rPr>
          <w:sz w:val="22"/>
          <w:szCs w:val="22"/>
        </w:rPr>
        <w:t xml:space="preserve">revenue contributions </w:t>
      </w:r>
      <w:r w:rsidR="00755FA6">
        <w:rPr>
          <w:sz w:val="22"/>
          <w:szCs w:val="22"/>
        </w:rPr>
        <w:t>and borrowing.</w:t>
      </w:r>
    </w:p>
    <w:p w14:paraId="6FF35E60" w14:textId="77777777" w:rsidR="00755FA6" w:rsidRDefault="00755FA6" w:rsidP="00BC24B8">
      <w:pPr>
        <w:rPr>
          <w:sz w:val="22"/>
          <w:szCs w:val="22"/>
        </w:rPr>
      </w:pPr>
    </w:p>
    <w:p w14:paraId="70D4B836" w14:textId="77777777" w:rsidR="00755FA6" w:rsidRDefault="00755FA6" w:rsidP="00BC24B8">
      <w:pPr>
        <w:rPr>
          <w:sz w:val="22"/>
          <w:szCs w:val="22"/>
        </w:rPr>
      </w:pPr>
      <w:r>
        <w:rPr>
          <w:sz w:val="22"/>
          <w:szCs w:val="22"/>
        </w:rPr>
        <w:t>As to Project Funding, once an approved capital project had been initiated, proportionate project funds would be released to project managers in stages.  This would be known as ‘Stage Gates’ rather than the funding being released in full at the start of the project.</w:t>
      </w:r>
    </w:p>
    <w:p w14:paraId="36553AE1" w14:textId="77777777" w:rsidR="00AC169A" w:rsidRDefault="00AC169A" w:rsidP="00BC24B8">
      <w:pPr>
        <w:rPr>
          <w:sz w:val="22"/>
          <w:szCs w:val="22"/>
        </w:rPr>
      </w:pPr>
    </w:p>
    <w:p w14:paraId="39241688" w14:textId="735155A8" w:rsidR="00755FA6" w:rsidRDefault="00755FA6" w:rsidP="00BC24B8">
      <w:pPr>
        <w:rPr>
          <w:sz w:val="22"/>
          <w:szCs w:val="22"/>
        </w:rPr>
      </w:pPr>
      <w:r>
        <w:rPr>
          <w:sz w:val="22"/>
          <w:szCs w:val="22"/>
        </w:rPr>
        <w:t>TVP’s Funding Strategy and Capital Policies sets out policies and priorities in relation to funding capital expenditure and in</w:t>
      </w:r>
      <w:r w:rsidR="00AC169A">
        <w:rPr>
          <w:sz w:val="22"/>
          <w:szCs w:val="22"/>
        </w:rPr>
        <w:t xml:space="preserve">vestment as well as the Partnerships and relationships with other organisations. </w:t>
      </w:r>
    </w:p>
    <w:p w14:paraId="1A7E04FD" w14:textId="77777777" w:rsidR="00AC169A" w:rsidRDefault="00AC169A" w:rsidP="00BC24B8">
      <w:pPr>
        <w:rPr>
          <w:sz w:val="22"/>
          <w:szCs w:val="22"/>
        </w:rPr>
      </w:pPr>
    </w:p>
    <w:p w14:paraId="5671BDEE" w14:textId="4261EB2F" w:rsidR="00AC169A" w:rsidRDefault="00AC169A" w:rsidP="00BC24B8">
      <w:pPr>
        <w:rPr>
          <w:sz w:val="22"/>
          <w:szCs w:val="22"/>
        </w:rPr>
      </w:pPr>
      <w:r>
        <w:rPr>
          <w:sz w:val="22"/>
          <w:szCs w:val="22"/>
        </w:rPr>
        <w:t xml:space="preserve">Finally, one of the biggest risks at present was the Funding Capacity Risk.  This was the risk that identified project costs which were either understated or escalated during the project lifecycle, for example if the project scope changed.  This risk was mitigated by the identified monitoring process and controls.  However, a further key mitigating factor was the management of the Optimism Bias </w:t>
      </w:r>
      <w:r w:rsidR="00DF3D4C">
        <w:rPr>
          <w:sz w:val="22"/>
          <w:szCs w:val="22"/>
        </w:rPr>
        <w:t>R</w:t>
      </w:r>
      <w:r>
        <w:rPr>
          <w:sz w:val="22"/>
          <w:szCs w:val="22"/>
        </w:rPr>
        <w:t>eserve.</w:t>
      </w:r>
    </w:p>
    <w:p w14:paraId="0839DA56" w14:textId="77777777" w:rsidR="00755FA6" w:rsidRDefault="00755FA6" w:rsidP="00BC24B8">
      <w:pPr>
        <w:rPr>
          <w:sz w:val="22"/>
          <w:szCs w:val="22"/>
        </w:rPr>
      </w:pPr>
    </w:p>
    <w:p w14:paraId="7FECA087" w14:textId="07B78EBA" w:rsidR="00221355" w:rsidRDefault="00221355" w:rsidP="00221355">
      <w:pPr>
        <w:rPr>
          <w:sz w:val="22"/>
          <w:szCs w:val="22"/>
        </w:rPr>
      </w:pPr>
      <w:r>
        <w:rPr>
          <w:sz w:val="22"/>
          <w:szCs w:val="22"/>
        </w:rPr>
        <w:t xml:space="preserve">The PCC </w:t>
      </w:r>
      <w:r w:rsidRPr="00361394">
        <w:rPr>
          <w:b/>
          <w:sz w:val="22"/>
          <w:szCs w:val="22"/>
        </w:rPr>
        <w:t>NOTED</w:t>
      </w:r>
      <w:r>
        <w:rPr>
          <w:sz w:val="22"/>
          <w:szCs w:val="22"/>
        </w:rPr>
        <w:t xml:space="preserve"> and </w:t>
      </w:r>
      <w:r w:rsidRPr="00361394">
        <w:rPr>
          <w:b/>
          <w:sz w:val="22"/>
          <w:szCs w:val="22"/>
        </w:rPr>
        <w:t>APPROVED</w:t>
      </w:r>
      <w:r>
        <w:rPr>
          <w:sz w:val="22"/>
          <w:szCs w:val="22"/>
        </w:rPr>
        <w:t xml:space="preserve"> the Capital Strategy 2019/20 to 2022/23</w:t>
      </w:r>
      <w:r w:rsidR="005B65D2">
        <w:rPr>
          <w:sz w:val="22"/>
          <w:szCs w:val="22"/>
        </w:rPr>
        <w:t>.</w:t>
      </w:r>
    </w:p>
    <w:p w14:paraId="180920C0" w14:textId="77777777" w:rsidR="00DF3D4C" w:rsidRDefault="00DF3D4C" w:rsidP="00BC24B8">
      <w:pPr>
        <w:rPr>
          <w:b/>
          <w:sz w:val="22"/>
          <w:szCs w:val="22"/>
        </w:rPr>
      </w:pPr>
    </w:p>
    <w:p w14:paraId="39F545BC" w14:textId="1E4AC372" w:rsidR="00BC24B8" w:rsidRDefault="00BC24B8" w:rsidP="00BC24B8">
      <w:pPr>
        <w:rPr>
          <w:b/>
          <w:sz w:val="22"/>
          <w:szCs w:val="22"/>
        </w:rPr>
      </w:pPr>
      <w:r>
        <w:rPr>
          <w:b/>
          <w:sz w:val="22"/>
          <w:szCs w:val="22"/>
        </w:rPr>
        <w:t>41.</w:t>
      </w:r>
      <w:r>
        <w:rPr>
          <w:b/>
          <w:sz w:val="22"/>
          <w:szCs w:val="22"/>
        </w:rPr>
        <w:tab/>
        <w:t>PROPERTY ASSET MANAGEMENT PLAN REFRESH</w:t>
      </w:r>
    </w:p>
    <w:p w14:paraId="11810934" w14:textId="77777777" w:rsidR="00BC24B8" w:rsidRDefault="00BC24B8" w:rsidP="00BC24B8">
      <w:pPr>
        <w:rPr>
          <w:b/>
          <w:sz w:val="22"/>
          <w:szCs w:val="22"/>
        </w:rPr>
      </w:pPr>
    </w:p>
    <w:p w14:paraId="582CC191" w14:textId="66F3F102" w:rsidR="00BC24B8" w:rsidRDefault="004132CE" w:rsidP="00BC24B8">
      <w:pPr>
        <w:rPr>
          <w:sz w:val="22"/>
          <w:szCs w:val="22"/>
        </w:rPr>
      </w:pPr>
      <w:r>
        <w:rPr>
          <w:sz w:val="22"/>
          <w:szCs w:val="22"/>
        </w:rPr>
        <w:t xml:space="preserve">The Property Asset Management Plan refresh was familiar to the PCC and Peter Smith (PS) went through the details to update </w:t>
      </w:r>
      <w:r w:rsidR="00DF3D4C">
        <w:rPr>
          <w:sz w:val="22"/>
          <w:szCs w:val="22"/>
        </w:rPr>
        <w:t>him</w:t>
      </w:r>
      <w:r>
        <w:rPr>
          <w:sz w:val="22"/>
          <w:szCs w:val="22"/>
        </w:rPr>
        <w:t>.  The Property Asset Management Plan (AMP) establish</w:t>
      </w:r>
      <w:r w:rsidR="006709B5">
        <w:rPr>
          <w:sz w:val="22"/>
          <w:szCs w:val="22"/>
        </w:rPr>
        <w:t>es</w:t>
      </w:r>
      <w:r>
        <w:rPr>
          <w:sz w:val="22"/>
          <w:szCs w:val="22"/>
        </w:rPr>
        <w:t xml:space="preserve"> the overall strategic direction for management of the estate and provid</w:t>
      </w:r>
      <w:r w:rsidR="006709B5">
        <w:rPr>
          <w:sz w:val="22"/>
          <w:szCs w:val="22"/>
        </w:rPr>
        <w:t>es</w:t>
      </w:r>
      <w:r>
        <w:rPr>
          <w:sz w:val="22"/>
          <w:szCs w:val="22"/>
        </w:rPr>
        <w:t xml:space="preserve"> the context for making key decisions on the future of individual properties and investment priorities.  The draft 2018 AMP</w:t>
      </w:r>
      <w:r w:rsidR="006709B5">
        <w:rPr>
          <w:sz w:val="22"/>
          <w:szCs w:val="22"/>
        </w:rPr>
        <w:t xml:space="preserve"> </w:t>
      </w:r>
      <w:r w:rsidR="00DF3D4C">
        <w:rPr>
          <w:sz w:val="22"/>
          <w:szCs w:val="22"/>
        </w:rPr>
        <w:t>cover</w:t>
      </w:r>
      <w:r w:rsidR="0070759F">
        <w:rPr>
          <w:sz w:val="22"/>
          <w:szCs w:val="22"/>
        </w:rPr>
        <w:t>s</w:t>
      </w:r>
      <w:r w:rsidR="00DF3D4C">
        <w:rPr>
          <w:sz w:val="22"/>
          <w:szCs w:val="22"/>
        </w:rPr>
        <w:t xml:space="preserve"> the period 2018-2022 and </w:t>
      </w:r>
      <w:r>
        <w:rPr>
          <w:sz w:val="22"/>
          <w:szCs w:val="22"/>
        </w:rPr>
        <w:t xml:space="preserve">was reviewed by the Chief Constable’s Management Team </w:t>
      </w:r>
      <w:r w:rsidR="00DF3D4C">
        <w:rPr>
          <w:sz w:val="22"/>
          <w:szCs w:val="22"/>
        </w:rPr>
        <w:t xml:space="preserve">(CCMT) </w:t>
      </w:r>
      <w:r>
        <w:rPr>
          <w:sz w:val="22"/>
          <w:szCs w:val="22"/>
        </w:rPr>
        <w:t>in December 2018</w:t>
      </w:r>
      <w:r w:rsidR="0070759F">
        <w:rPr>
          <w:sz w:val="22"/>
          <w:szCs w:val="22"/>
        </w:rPr>
        <w:t>, and</w:t>
      </w:r>
      <w:r w:rsidR="00DF3D4C">
        <w:rPr>
          <w:sz w:val="22"/>
          <w:szCs w:val="22"/>
        </w:rPr>
        <w:t xml:space="preserve"> </w:t>
      </w:r>
      <w:r>
        <w:rPr>
          <w:sz w:val="22"/>
          <w:szCs w:val="22"/>
        </w:rPr>
        <w:t>reflect</w:t>
      </w:r>
      <w:r w:rsidR="0070759F">
        <w:rPr>
          <w:sz w:val="22"/>
          <w:szCs w:val="22"/>
        </w:rPr>
        <w:t>s</w:t>
      </w:r>
      <w:r>
        <w:rPr>
          <w:sz w:val="22"/>
          <w:szCs w:val="22"/>
        </w:rPr>
        <w:t xml:space="preserve"> their </w:t>
      </w:r>
      <w:r w:rsidR="0070759F">
        <w:rPr>
          <w:sz w:val="22"/>
          <w:szCs w:val="22"/>
        </w:rPr>
        <w:t xml:space="preserve">required </w:t>
      </w:r>
      <w:r>
        <w:rPr>
          <w:sz w:val="22"/>
          <w:szCs w:val="22"/>
        </w:rPr>
        <w:t xml:space="preserve">changes.  </w:t>
      </w:r>
    </w:p>
    <w:p w14:paraId="542B23F8" w14:textId="77777777" w:rsidR="004132CE" w:rsidRDefault="004132CE" w:rsidP="00BC24B8">
      <w:pPr>
        <w:rPr>
          <w:sz w:val="22"/>
          <w:szCs w:val="22"/>
        </w:rPr>
      </w:pPr>
    </w:p>
    <w:p w14:paraId="7851A8A7" w14:textId="66D09BD3" w:rsidR="004132CE" w:rsidRPr="004132CE" w:rsidRDefault="006709B5" w:rsidP="00BC24B8">
      <w:pPr>
        <w:rPr>
          <w:sz w:val="22"/>
          <w:szCs w:val="22"/>
        </w:rPr>
      </w:pPr>
      <w:r>
        <w:rPr>
          <w:sz w:val="22"/>
          <w:szCs w:val="22"/>
        </w:rPr>
        <w:t>A</w:t>
      </w:r>
      <w:r w:rsidR="004132CE">
        <w:rPr>
          <w:sz w:val="22"/>
          <w:szCs w:val="22"/>
        </w:rPr>
        <w:t xml:space="preserve"> total of 107 property interests </w:t>
      </w:r>
      <w:r>
        <w:rPr>
          <w:sz w:val="22"/>
          <w:szCs w:val="22"/>
        </w:rPr>
        <w:t xml:space="preserve">have </w:t>
      </w:r>
      <w:r w:rsidR="004132CE">
        <w:rPr>
          <w:sz w:val="22"/>
          <w:szCs w:val="22"/>
        </w:rPr>
        <w:t>be</w:t>
      </w:r>
      <w:r>
        <w:rPr>
          <w:sz w:val="22"/>
          <w:szCs w:val="22"/>
        </w:rPr>
        <w:t xml:space="preserve">en </w:t>
      </w:r>
      <w:r w:rsidR="004132CE">
        <w:rPr>
          <w:sz w:val="22"/>
          <w:szCs w:val="22"/>
        </w:rPr>
        <w:t xml:space="preserve">disposed since 2010, currently leaving 96 ‘overt’ sites.  The disposal programme </w:t>
      </w:r>
      <w:r>
        <w:rPr>
          <w:sz w:val="22"/>
          <w:szCs w:val="22"/>
        </w:rPr>
        <w:t xml:space="preserve">has generated </w:t>
      </w:r>
      <w:r w:rsidR="004132CE">
        <w:rPr>
          <w:sz w:val="22"/>
          <w:szCs w:val="22"/>
        </w:rPr>
        <w:t>a cumulative net capital receipt since 2010 of c</w:t>
      </w:r>
      <w:r>
        <w:rPr>
          <w:sz w:val="22"/>
          <w:szCs w:val="22"/>
        </w:rPr>
        <w:t xml:space="preserve">irca </w:t>
      </w:r>
      <w:r w:rsidR="004132CE">
        <w:rPr>
          <w:sz w:val="22"/>
          <w:szCs w:val="22"/>
        </w:rPr>
        <w:t>£35m and a net revenue saving, based on a 3 year average cost</w:t>
      </w:r>
      <w:r>
        <w:rPr>
          <w:sz w:val="22"/>
          <w:szCs w:val="22"/>
        </w:rPr>
        <w:t>,</w:t>
      </w:r>
      <w:r w:rsidR="004132CE">
        <w:rPr>
          <w:sz w:val="22"/>
          <w:szCs w:val="22"/>
        </w:rPr>
        <w:t xml:space="preserve"> of c</w:t>
      </w:r>
      <w:r>
        <w:rPr>
          <w:sz w:val="22"/>
          <w:szCs w:val="22"/>
        </w:rPr>
        <w:t xml:space="preserve">irca </w:t>
      </w:r>
      <w:r w:rsidR="007A2645">
        <w:rPr>
          <w:sz w:val="22"/>
          <w:szCs w:val="22"/>
        </w:rPr>
        <w:t>£</w:t>
      </w:r>
      <w:r w:rsidR="004132CE">
        <w:rPr>
          <w:sz w:val="22"/>
          <w:szCs w:val="22"/>
        </w:rPr>
        <w:t xml:space="preserve">4m per annum with other departmental imposed budget reductions under the Productivity Plan. </w:t>
      </w:r>
    </w:p>
    <w:p w14:paraId="4AEC4A96" w14:textId="77777777" w:rsidR="004132CE" w:rsidRDefault="004132CE" w:rsidP="00BC24B8">
      <w:pPr>
        <w:rPr>
          <w:b/>
          <w:sz w:val="22"/>
          <w:szCs w:val="22"/>
        </w:rPr>
      </w:pPr>
    </w:p>
    <w:p w14:paraId="29273FA1" w14:textId="57D16AF4" w:rsidR="006709B5" w:rsidRDefault="00301FC8" w:rsidP="00BC24B8">
      <w:pPr>
        <w:rPr>
          <w:sz w:val="22"/>
          <w:szCs w:val="22"/>
        </w:rPr>
      </w:pPr>
      <w:r>
        <w:rPr>
          <w:sz w:val="22"/>
          <w:szCs w:val="22"/>
        </w:rPr>
        <w:t xml:space="preserve">The proportion of estate floor area that </w:t>
      </w:r>
      <w:r w:rsidR="00DF3D4C">
        <w:rPr>
          <w:sz w:val="22"/>
          <w:szCs w:val="22"/>
        </w:rPr>
        <w:t>wa</w:t>
      </w:r>
      <w:r>
        <w:rPr>
          <w:sz w:val="22"/>
          <w:szCs w:val="22"/>
        </w:rPr>
        <w:t xml:space="preserve">s owned </w:t>
      </w:r>
      <w:r w:rsidR="00DF3D4C">
        <w:rPr>
          <w:sz w:val="22"/>
          <w:szCs w:val="22"/>
        </w:rPr>
        <w:t>wa</w:t>
      </w:r>
      <w:r>
        <w:rPr>
          <w:sz w:val="22"/>
          <w:szCs w:val="22"/>
        </w:rPr>
        <w:t xml:space="preserve">s still gradually increasing, currently at 88% and up from 72% in 2010.  It </w:t>
      </w:r>
      <w:r w:rsidR="00DF3D4C">
        <w:rPr>
          <w:sz w:val="22"/>
          <w:szCs w:val="22"/>
        </w:rPr>
        <w:t>wa</w:t>
      </w:r>
      <w:r>
        <w:rPr>
          <w:sz w:val="22"/>
          <w:szCs w:val="22"/>
        </w:rPr>
        <w:t xml:space="preserve">s not expected to change significantly </w:t>
      </w:r>
      <w:r w:rsidR="006709B5">
        <w:rPr>
          <w:sz w:val="22"/>
          <w:szCs w:val="22"/>
        </w:rPr>
        <w:t xml:space="preserve">in the near future </w:t>
      </w:r>
      <w:r>
        <w:rPr>
          <w:sz w:val="22"/>
          <w:szCs w:val="22"/>
        </w:rPr>
        <w:t xml:space="preserve">having only two remaining </w:t>
      </w:r>
      <w:r w:rsidR="0070759F">
        <w:rPr>
          <w:sz w:val="22"/>
          <w:szCs w:val="22"/>
        </w:rPr>
        <w:t xml:space="preserve">large </w:t>
      </w:r>
      <w:r>
        <w:rPr>
          <w:sz w:val="22"/>
          <w:szCs w:val="22"/>
        </w:rPr>
        <w:t xml:space="preserve">leased facilities, one being a training facility and the other a specialist facility.  </w:t>
      </w:r>
    </w:p>
    <w:p w14:paraId="39FB6A9C" w14:textId="77777777" w:rsidR="006709B5" w:rsidRDefault="006709B5" w:rsidP="00BC24B8">
      <w:pPr>
        <w:rPr>
          <w:sz w:val="22"/>
          <w:szCs w:val="22"/>
        </w:rPr>
      </w:pPr>
    </w:p>
    <w:p w14:paraId="3F943C99" w14:textId="395A00CA" w:rsidR="00301FC8" w:rsidRDefault="00301FC8" w:rsidP="00BC24B8">
      <w:pPr>
        <w:rPr>
          <w:sz w:val="22"/>
          <w:szCs w:val="22"/>
        </w:rPr>
      </w:pPr>
      <w:r>
        <w:rPr>
          <w:sz w:val="22"/>
          <w:szCs w:val="22"/>
        </w:rPr>
        <w:t xml:space="preserve">Of all the remaining sites now assessed, excluding car parking areas and land, 99% of the portfolio floor area </w:t>
      </w:r>
      <w:r w:rsidR="00DF3D4C">
        <w:rPr>
          <w:sz w:val="22"/>
          <w:szCs w:val="22"/>
        </w:rPr>
        <w:t>wa</w:t>
      </w:r>
      <w:r>
        <w:rPr>
          <w:sz w:val="22"/>
          <w:szCs w:val="22"/>
        </w:rPr>
        <w:t xml:space="preserve">s objectively rated either fit for purpose (78%) or generally fit for purpose (21%).  One small property in Reading </w:t>
      </w:r>
      <w:r w:rsidR="00DF3D4C">
        <w:rPr>
          <w:sz w:val="22"/>
          <w:szCs w:val="22"/>
        </w:rPr>
        <w:t>wa</w:t>
      </w:r>
      <w:r>
        <w:rPr>
          <w:sz w:val="22"/>
          <w:szCs w:val="22"/>
        </w:rPr>
        <w:t xml:space="preserve">s now vacant pending disposal and was rated not fit for purpose.  </w:t>
      </w:r>
    </w:p>
    <w:p w14:paraId="34E58B1B" w14:textId="77777777" w:rsidR="00301FC8" w:rsidRPr="00301FC8" w:rsidRDefault="00301FC8" w:rsidP="00BC24B8">
      <w:pPr>
        <w:rPr>
          <w:sz w:val="22"/>
          <w:szCs w:val="22"/>
        </w:rPr>
      </w:pPr>
    </w:p>
    <w:p w14:paraId="65F63D26" w14:textId="13E345E6" w:rsidR="004132CE" w:rsidRDefault="00301FC8" w:rsidP="00BC24B8">
      <w:pPr>
        <w:rPr>
          <w:sz w:val="22"/>
          <w:szCs w:val="22"/>
        </w:rPr>
      </w:pPr>
      <w:r>
        <w:rPr>
          <w:sz w:val="22"/>
          <w:szCs w:val="22"/>
        </w:rPr>
        <w:t xml:space="preserve">Where operational collaboration opportunities </w:t>
      </w:r>
      <w:r w:rsidR="00DF3D4C">
        <w:rPr>
          <w:sz w:val="22"/>
          <w:szCs w:val="22"/>
        </w:rPr>
        <w:t>we</w:t>
      </w:r>
      <w:r>
        <w:rPr>
          <w:sz w:val="22"/>
          <w:szCs w:val="22"/>
        </w:rPr>
        <w:t xml:space="preserve">re identified, it </w:t>
      </w:r>
      <w:r w:rsidR="00DF3D4C">
        <w:rPr>
          <w:sz w:val="22"/>
          <w:szCs w:val="22"/>
        </w:rPr>
        <w:t>wa</w:t>
      </w:r>
      <w:r>
        <w:rPr>
          <w:sz w:val="22"/>
          <w:szCs w:val="22"/>
        </w:rPr>
        <w:t xml:space="preserve">s the intention that the </w:t>
      </w:r>
      <w:r w:rsidR="00DF3D4C">
        <w:rPr>
          <w:sz w:val="22"/>
          <w:szCs w:val="22"/>
        </w:rPr>
        <w:t>AMP would</w:t>
      </w:r>
      <w:r>
        <w:rPr>
          <w:sz w:val="22"/>
          <w:szCs w:val="22"/>
        </w:rPr>
        <w:t xml:space="preserve"> support them.  Operational collaborative arrangements so far have not had any significant accommodation impact, although they have increased occupancy at regional covert hub sites in </w:t>
      </w:r>
      <w:r w:rsidR="00BA55EE">
        <w:rPr>
          <w:sz w:val="22"/>
          <w:szCs w:val="22"/>
        </w:rPr>
        <w:t>the T</w:t>
      </w:r>
      <w:r w:rsidR="006709B5">
        <w:rPr>
          <w:sz w:val="22"/>
          <w:szCs w:val="22"/>
        </w:rPr>
        <w:t>VP</w:t>
      </w:r>
      <w:r w:rsidR="00BA55EE">
        <w:rPr>
          <w:sz w:val="22"/>
          <w:szCs w:val="22"/>
        </w:rPr>
        <w:t xml:space="preserve"> area and another force area with the potential for a significant consolidation project in the future.  Hampshire Constabulary </w:t>
      </w:r>
      <w:r w:rsidR="005B6D04">
        <w:rPr>
          <w:sz w:val="22"/>
          <w:szCs w:val="22"/>
        </w:rPr>
        <w:t>wa</w:t>
      </w:r>
      <w:r w:rsidR="00BA55EE">
        <w:rPr>
          <w:sz w:val="22"/>
          <w:szCs w:val="22"/>
        </w:rPr>
        <w:t>s now utilising part of the Force’s REC ar</w:t>
      </w:r>
      <w:r w:rsidR="005B65D2">
        <w:rPr>
          <w:sz w:val="22"/>
          <w:szCs w:val="22"/>
        </w:rPr>
        <w:t>chive facility.</w:t>
      </w:r>
    </w:p>
    <w:p w14:paraId="346681F6" w14:textId="77777777" w:rsidR="005B65D2" w:rsidRDefault="005B65D2" w:rsidP="00BC24B8">
      <w:pPr>
        <w:rPr>
          <w:sz w:val="22"/>
          <w:szCs w:val="22"/>
        </w:rPr>
      </w:pPr>
    </w:p>
    <w:p w14:paraId="4A5945FC" w14:textId="5E89F41C" w:rsidR="00221355" w:rsidRDefault="005B65D2" w:rsidP="00BC24B8">
      <w:pPr>
        <w:rPr>
          <w:sz w:val="22"/>
          <w:szCs w:val="22"/>
        </w:rPr>
      </w:pPr>
      <w:r>
        <w:rPr>
          <w:sz w:val="22"/>
          <w:szCs w:val="22"/>
        </w:rPr>
        <w:t xml:space="preserve">In conclusion, </w:t>
      </w:r>
      <w:r w:rsidR="0070759F">
        <w:rPr>
          <w:sz w:val="22"/>
          <w:szCs w:val="22"/>
        </w:rPr>
        <w:t xml:space="preserve">in terms of the estate, </w:t>
      </w:r>
      <w:r>
        <w:rPr>
          <w:sz w:val="22"/>
          <w:szCs w:val="22"/>
        </w:rPr>
        <w:t xml:space="preserve">there were no fundamental gaps </w:t>
      </w:r>
      <w:r w:rsidR="005B6D04">
        <w:rPr>
          <w:sz w:val="22"/>
          <w:szCs w:val="22"/>
        </w:rPr>
        <w:t xml:space="preserve">to speak of </w:t>
      </w:r>
      <w:r>
        <w:rPr>
          <w:sz w:val="22"/>
          <w:szCs w:val="22"/>
        </w:rPr>
        <w:t xml:space="preserve">and performance was </w:t>
      </w:r>
      <w:r w:rsidR="0070759F">
        <w:rPr>
          <w:sz w:val="22"/>
          <w:szCs w:val="22"/>
        </w:rPr>
        <w:t>good</w:t>
      </w:r>
      <w:r>
        <w:rPr>
          <w:sz w:val="22"/>
          <w:szCs w:val="22"/>
        </w:rPr>
        <w:t xml:space="preserve"> </w:t>
      </w:r>
      <w:r w:rsidR="005B6D04">
        <w:rPr>
          <w:sz w:val="22"/>
          <w:szCs w:val="22"/>
        </w:rPr>
        <w:t xml:space="preserve">and </w:t>
      </w:r>
      <w:r w:rsidR="0070759F">
        <w:rPr>
          <w:sz w:val="22"/>
          <w:szCs w:val="22"/>
        </w:rPr>
        <w:t xml:space="preserve">supporting </w:t>
      </w:r>
      <w:r>
        <w:rPr>
          <w:sz w:val="22"/>
          <w:szCs w:val="22"/>
        </w:rPr>
        <w:t>service</w:t>
      </w:r>
      <w:r w:rsidR="0070759F">
        <w:rPr>
          <w:sz w:val="22"/>
          <w:szCs w:val="22"/>
        </w:rPr>
        <w:t xml:space="preserve"> delivery</w:t>
      </w:r>
      <w:r>
        <w:rPr>
          <w:sz w:val="22"/>
          <w:szCs w:val="22"/>
        </w:rPr>
        <w:t xml:space="preserve">.  PS noted that </w:t>
      </w:r>
      <w:r w:rsidR="0070759F">
        <w:rPr>
          <w:sz w:val="22"/>
          <w:szCs w:val="22"/>
        </w:rPr>
        <w:t>an estate strategy for Sulhamstead was being developed in view of emerging pressures</w:t>
      </w:r>
      <w:r>
        <w:rPr>
          <w:sz w:val="22"/>
          <w:szCs w:val="22"/>
        </w:rPr>
        <w:t xml:space="preserve">.  </w:t>
      </w:r>
    </w:p>
    <w:p w14:paraId="1B46C1BA" w14:textId="77777777" w:rsidR="005B65D2" w:rsidRDefault="005B65D2" w:rsidP="00BC24B8">
      <w:pPr>
        <w:rPr>
          <w:b/>
          <w:sz w:val="22"/>
          <w:szCs w:val="22"/>
        </w:rPr>
      </w:pPr>
    </w:p>
    <w:p w14:paraId="27EB1EEF" w14:textId="77777777" w:rsidR="005B65D2" w:rsidRDefault="005B65D2" w:rsidP="00BC24B8">
      <w:pPr>
        <w:rPr>
          <w:b/>
          <w:sz w:val="22"/>
          <w:szCs w:val="22"/>
        </w:rPr>
      </w:pPr>
    </w:p>
    <w:p w14:paraId="5DDEA9BD" w14:textId="6B52D43B" w:rsidR="00221355" w:rsidRPr="00221355" w:rsidRDefault="00221355" w:rsidP="00BC24B8">
      <w:pPr>
        <w:rPr>
          <w:sz w:val="22"/>
          <w:szCs w:val="22"/>
        </w:rPr>
      </w:pPr>
      <w:r>
        <w:rPr>
          <w:sz w:val="22"/>
          <w:szCs w:val="22"/>
        </w:rPr>
        <w:t xml:space="preserve">The PCC </w:t>
      </w:r>
      <w:r w:rsidRPr="00361394">
        <w:rPr>
          <w:b/>
          <w:sz w:val="22"/>
          <w:szCs w:val="22"/>
        </w:rPr>
        <w:t>REVIEWED</w:t>
      </w:r>
      <w:r>
        <w:rPr>
          <w:sz w:val="22"/>
          <w:szCs w:val="22"/>
        </w:rPr>
        <w:t xml:space="preserve"> and </w:t>
      </w:r>
      <w:r w:rsidRPr="00361394">
        <w:rPr>
          <w:b/>
          <w:sz w:val="22"/>
          <w:szCs w:val="22"/>
        </w:rPr>
        <w:t xml:space="preserve">ENDORSED </w:t>
      </w:r>
      <w:r>
        <w:rPr>
          <w:sz w:val="22"/>
          <w:szCs w:val="22"/>
        </w:rPr>
        <w:t xml:space="preserve">the recommendations set out in the </w:t>
      </w:r>
      <w:r w:rsidR="005B6D04">
        <w:rPr>
          <w:sz w:val="22"/>
          <w:szCs w:val="22"/>
        </w:rPr>
        <w:t>(</w:t>
      </w:r>
      <w:r>
        <w:rPr>
          <w:sz w:val="22"/>
          <w:szCs w:val="22"/>
        </w:rPr>
        <w:t>A</w:t>
      </w:r>
      <w:r w:rsidR="005B6D04">
        <w:rPr>
          <w:sz w:val="22"/>
          <w:szCs w:val="22"/>
        </w:rPr>
        <w:t>MP).</w:t>
      </w:r>
      <w:r>
        <w:rPr>
          <w:sz w:val="22"/>
          <w:szCs w:val="22"/>
        </w:rPr>
        <w:t xml:space="preserve"> </w:t>
      </w:r>
    </w:p>
    <w:p w14:paraId="4222A5A8" w14:textId="77777777" w:rsidR="00221355" w:rsidRDefault="00221355" w:rsidP="00BC24B8">
      <w:pPr>
        <w:rPr>
          <w:b/>
          <w:sz w:val="22"/>
          <w:szCs w:val="22"/>
        </w:rPr>
      </w:pPr>
    </w:p>
    <w:p w14:paraId="480ACCA4" w14:textId="77777777" w:rsidR="00BC24B8" w:rsidRDefault="00BC24B8" w:rsidP="00BC24B8">
      <w:pPr>
        <w:rPr>
          <w:b/>
          <w:sz w:val="22"/>
          <w:szCs w:val="22"/>
        </w:rPr>
      </w:pPr>
    </w:p>
    <w:p w14:paraId="5CE57625" w14:textId="77777777" w:rsidR="00610F89" w:rsidRDefault="00610F89" w:rsidP="00BC24B8">
      <w:pPr>
        <w:rPr>
          <w:b/>
          <w:sz w:val="22"/>
          <w:szCs w:val="22"/>
        </w:rPr>
      </w:pPr>
    </w:p>
    <w:p w14:paraId="69F2447A" w14:textId="77777777" w:rsidR="00610F89" w:rsidRDefault="00610F89" w:rsidP="00BC24B8">
      <w:pPr>
        <w:rPr>
          <w:b/>
          <w:sz w:val="22"/>
          <w:szCs w:val="22"/>
        </w:rPr>
      </w:pPr>
    </w:p>
    <w:p w14:paraId="615977CF" w14:textId="42C73C94" w:rsidR="00BC24B8" w:rsidRDefault="00BC24B8" w:rsidP="00BC24B8">
      <w:pPr>
        <w:rPr>
          <w:b/>
          <w:sz w:val="22"/>
          <w:szCs w:val="22"/>
        </w:rPr>
      </w:pPr>
      <w:r>
        <w:rPr>
          <w:b/>
          <w:sz w:val="22"/>
          <w:szCs w:val="22"/>
        </w:rPr>
        <w:t>42.</w:t>
      </w:r>
      <w:r>
        <w:rPr>
          <w:b/>
          <w:sz w:val="22"/>
          <w:szCs w:val="22"/>
        </w:rPr>
        <w:tab/>
        <w:t>REVENUE ESTIMATE 2019/20</w:t>
      </w:r>
    </w:p>
    <w:p w14:paraId="40561DEF" w14:textId="77777777" w:rsidR="00BC24B8" w:rsidRDefault="00BC24B8" w:rsidP="00BC24B8">
      <w:pPr>
        <w:rPr>
          <w:b/>
          <w:sz w:val="22"/>
          <w:szCs w:val="22"/>
        </w:rPr>
      </w:pPr>
    </w:p>
    <w:p w14:paraId="706BE30A" w14:textId="752EBF00" w:rsidR="00BC24B8" w:rsidRDefault="005B65D2" w:rsidP="00BC24B8">
      <w:pPr>
        <w:rPr>
          <w:sz w:val="22"/>
          <w:szCs w:val="22"/>
        </w:rPr>
      </w:pPr>
      <w:r>
        <w:rPr>
          <w:sz w:val="22"/>
          <w:szCs w:val="22"/>
        </w:rPr>
        <w:t>The report provided information on the provisional police funding settlement for 2019/20 and recommended a draft revenue budget and council tax precept for the PCC to approve, subject to any final notifications on the council tax base from local authorities.</w:t>
      </w:r>
    </w:p>
    <w:p w14:paraId="49EF1CC0" w14:textId="77777777" w:rsidR="005B65D2" w:rsidRDefault="005B65D2" w:rsidP="00BC24B8">
      <w:pPr>
        <w:rPr>
          <w:sz w:val="22"/>
          <w:szCs w:val="22"/>
        </w:rPr>
      </w:pPr>
    </w:p>
    <w:p w14:paraId="1D624742" w14:textId="23089060" w:rsidR="005B65D2" w:rsidRDefault="005B65D2" w:rsidP="00BC24B8">
      <w:pPr>
        <w:rPr>
          <w:sz w:val="22"/>
          <w:szCs w:val="22"/>
        </w:rPr>
      </w:pPr>
      <w:r>
        <w:rPr>
          <w:sz w:val="22"/>
          <w:szCs w:val="22"/>
        </w:rPr>
        <w:t xml:space="preserve">The key headlines of the £970m additional funding for the </w:t>
      </w:r>
      <w:r w:rsidR="00782550">
        <w:rPr>
          <w:sz w:val="22"/>
          <w:szCs w:val="22"/>
        </w:rPr>
        <w:t xml:space="preserve">police </w:t>
      </w:r>
      <w:r>
        <w:rPr>
          <w:sz w:val="22"/>
          <w:szCs w:val="22"/>
        </w:rPr>
        <w:t xml:space="preserve">service </w:t>
      </w:r>
      <w:r w:rsidR="00782550">
        <w:rPr>
          <w:sz w:val="22"/>
          <w:szCs w:val="22"/>
        </w:rPr>
        <w:t xml:space="preserve">nationally </w:t>
      </w:r>
      <w:r>
        <w:rPr>
          <w:sz w:val="22"/>
          <w:szCs w:val="22"/>
        </w:rPr>
        <w:t>included:</w:t>
      </w:r>
    </w:p>
    <w:p w14:paraId="63A4DE42" w14:textId="77777777" w:rsidR="005B6D04" w:rsidRDefault="005B6D04" w:rsidP="00BC24B8">
      <w:pPr>
        <w:rPr>
          <w:sz w:val="22"/>
          <w:szCs w:val="22"/>
        </w:rPr>
      </w:pPr>
    </w:p>
    <w:p w14:paraId="5E5463F3" w14:textId="3ABD438A" w:rsidR="005B65D2" w:rsidRDefault="005B65D2" w:rsidP="005B65D2">
      <w:pPr>
        <w:pStyle w:val="ListParagraph"/>
        <w:numPr>
          <w:ilvl w:val="0"/>
          <w:numId w:val="39"/>
        </w:numPr>
        <w:rPr>
          <w:sz w:val="22"/>
        </w:rPr>
      </w:pPr>
      <w:r>
        <w:rPr>
          <w:sz w:val="22"/>
        </w:rPr>
        <w:t>£161m additional formula funding;</w:t>
      </w:r>
    </w:p>
    <w:p w14:paraId="33CABF9C" w14:textId="4B0FDDD0" w:rsidR="005B65D2" w:rsidRDefault="005B65D2" w:rsidP="005B65D2">
      <w:pPr>
        <w:pStyle w:val="ListParagraph"/>
        <w:numPr>
          <w:ilvl w:val="0"/>
          <w:numId w:val="39"/>
        </w:numPr>
        <w:rPr>
          <w:sz w:val="22"/>
        </w:rPr>
      </w:pPr>
      <w:r>
        <w:rPr>
          <w:sz w:val="22"/>
        </w:rPr>
        <w:t>£153m pension grant;</w:t>
      </w:r>
    </w:p>
    <w:p w14:paraId="2E9A847C" w14:textId="5443E0B2" w:rsidR="005B65D2" w:rsidRDefault="005B65D2" w:rsidP="005B65D2">
      <w:pPr>
        <w:pStyle w:val="ListParagraph"/>
        <w:numPr>
          <w:ilvl w:val="0"/>
          <w:numId w:val="39"/>
        </w:numPr>
        <w:rPr>
          <w:sz w:val="22"/>
        </w:rPr>
      </w:pPr>
      <w:r>
        <w:rPr>
          <w:sz w:val="22"/>
        </w:rPr>
        <w:t>£59m additional funding for Counter Terrorism;</w:t>
      </w:r>
    </w:p>
    <w:p w14:paraId="4499D3E5" w14:textId="53EA080E" w:rsidR="005B65D2" w:rsidRDefault="005B65D2" w:rsidP="005B65D2">
      <w:pPr>
        <w:pStyle w:val="ListParagraph"/>
        <w:numPr>
          <w:ilvl w:val="0"/>
          <w:numId w:val="39"/>
        </w:numPr>
        <w:rPr>
          <w:sz w:val="22"/>
        </w:rPr>
      </w:pPr>
      <w:r>
        <w:rPr>
          <w:sz w:val="22"/>
        </w:rPr>
        <w:t>£90m additional funding to tackle Serious and Organised Crime; and</w:t>
      </w:r>
    </w:p>
    <w:p w14:paraId="09D4C9D8" w14:textId="75CBCE35" w:rsidR="005B65D2" w:rsidRDefault="005B65D2" w:rsidP="005B65D2">
      <w:pPr>
        <w:pStyle w:val="ListParagraph"/>
        <w:numPr>
          <w:ilvl w:val="0"/>
          <w:numId w:val="39"/>
        </w:numPr>
        <w:rPr>
          <w:sz w:val="22"/>
        </w:rPr>
      </w:pPr>
      <w:r>
        <w:rPr>
          <w:sz w:val="22"/>
        </w:rPr>
        <w:t>£509m as a result of additional council tax flexibilities.</w:t>
      </w:r>
    </w:p>
    <w:p w14:paraId="43502C99" w14:textId="77777777" w:rsidR="005B65D2" w:rsidRDefault="005B65D2" w:rsidP="005B65D2">
      <w:pPr>
        <w:rPr>
          <w:sz w:val="22"/>
        </w:rPr>
      </w:pPr>
    </w:p>
    <w:p w14:paraId="3A263F07" w14:textId="2A587B24" w:rsidR="003D0A81" w:rsidRDefault="005B65D2" w:rsidP="005B65D2">
      <w:pPr>
        <w:rPr>
          <w:sz w:val="22"/>
        </w:rPr>
      </w:pPr>
      <w:r>
        <w:rPr>
          <w:sz w:val="22"/>
        </w:rPr>
        <w:t>This additional funding given by the government, had given the organisation the flexibility to spend on policing.</w:t>
      </w:r>
      <w:r w:rsidR="003D0A81">
        <w:rPr>
          <w:sz w:val="22"/>
        </w:rPr>
        <w:t xml:space="preserve"> A letter to the Home Affairs Select Committee (HASC) outlined the Policing Minister’s four priority areas to ‘drive efficiency, productivity and effectiveness next year’.</w:t>
      </w:r>
    </w:p>
    <w:p w14:paraId="3E464F2E" w14:textId="77777777" w:rsidR="003D0A81" w:rsidRDefault="003D0A81" w:rsidP="005B65D2">
      <w:pPr>
        <w:rPr>
          <w:sz w:val="22"/>
        </w:rPr>
      </w:pPr>
    </w:p>
    <w:p w14:paraId="1F78EF58" w14:textId="3E860DA0" w:rsidR="003D0A81" w:rsidRDefault="003D0A81" w:rsidP="005B65D2">
      <w:pPr>
        <w:rPr>
          <w:sz w:val="22"/>
        </w:rPr>
      </w:pPr>
      <w:r>
        <w:rPr>
          <w:sz w:val="22"/>
        </w:rPr>
        <w:t>The recent changes to the way in which police pensions were calculated meant that the police</w:t>
      </w:r>
      <w:r w:rsidR="00782550">
        <w:rPr>
          <w:sz w:val="22"/>
        </w:rPr>
        <w:t xml:space="preserve"> service</w:t>
      </w:r>
      <w:r>
        <w:rPr>
          <w:sz w:val="22"/>
        </w:rPr>
        <w:t xml:space="preserve">, as well as other unfunded schemes, would see a sharp increase in costs.  These costs for the Police, were now estimated to be approximately £330m </w:t>
      </w:r>
      <w:r w:rsidR="00782550">
        <w:rPr>
          <w:sz w:val="22"/>
        </w:rPr>
        <w:t xml:space="preserve">nationally </w:t>
      </w:r>
      <w:r>
        <w:rPr>
          <w:sz w:val="22"/>
        </w:rPr>
        <w:t xml:space="preserve">(£302m for police officers and a further £28m for MPs and civil servants).  In 2019/20 the Treasury provided forces with an additional £142.5m pensions grant in addition to the £161m core funding.  In some forces, the combined grant covered the full pension costs but in Thames Valley, there was </w:t>
      </w:r>
      <w:r w:rsidR="005B6D04">
        <w:rPr>
          <w:sz w:val="22"/>
        </w:rPr>
        <w:t xml:space="preserve">still </w:t>
      </w:r>
      <w:r>
        <w:rPr>
          <w:sz w:val="22"/>
        </w:rPr>
        <w:t xml:space="preserve">a shortfall where a balance would need to be funded locally </w:t>
      </w:r>
      <w:r w:rsidR="005B6D04">
        <w:rPr>
          <w:sz w:val="22"/>
        </w:rPr>
        <w:t xml:space="preserve">in the sum </w:t>
      </w:r>
      <w:r>
        <w:rPr>
          <w:sz w:val="22"/>
        </w:rPr>
        <w:t>of £0.7m.</w:t>
      </w:r>
    </w:p>
    <w:p w14:paraId="0F59C2CA" w14:textId="77777777" w:rsidR="003D0A81" w:rsidRDefault="003D0A81" w:rsidP="005B65D2">
      <w:pPr>
        <w:rPr>
          <w:sz w:val="22"/>
        </w:rPr>
      </w:pPr>
    </w:p>
    <w:p w14:paraId="3DB2B662" w14:textId="017F17B4" w:rsidR="005B6D04" w:rsidRDefault="00E62792" w:rsidP="005B65D2">
      <w:pPr>
        <w:rPr>
          <w:sz w:val="22"/>
        </w:rPr>
      </w:pPr>
      <w:r>
        <w:rPr>
          <w:sz w:val="22"/>
        </w:rPr>
        <w:t>(</w:t>
      </w:r>
      <w:r w:rsidR="003D0A81">
        <w:rPr>
          <w:sz w:val="22"/>
        </w:rPr>
        <w:t>IT</w:t>
      </w:r>
      <w:r>
        <w:rPr>
          <w:sz w:val="22"/>
        </w:rPr>
        <w:t>)</w:t>
      </w:r>
      <w:r w:rsidR="003D0A81">
        <w:rPr>
          <w:sz w:val="22"/>
        </w:rPr>
        <w:t xml:space="preserve"> summarised the reallocations/top-slices for 2019/20.  The special grant had decreased from £93m to £73m; the grant total rose last year as the Home Office anticipated additional funding for the Commonwealth Heads of Government Summit.  </w:t>
      </w:r>
    </w:p>
    <w:p w14:paraId="358832B5" w14:textId="77777777" w:rsidR="005B6D04" w:rsidRDefault="005B6D04" w:rsidP="005B65D2">
      <w:pPr>
        <w:rPr>
          <w:sz w:val="22"/>
        </w:rPr>
      </w:pPr>
    </w:p>
    <w:p w14:paraId="6AF10C38" w14:textId="7313A144" w:rsidR="003D0A81" w:rsidRDefault="005F2A7A" w:rsidP="005B65D2">
      <w:pPr>
        <w:rPr>
          <w:sz w:val="22"/>
        </w:rPr>
      </w:pPr>
      <w:r>
        <w:rPr>
          <w:sz w:val="22"/>
        </w:rPr>
        <w:t>T</w:t>
      </w:r>
      <w:r w:rsidR="003D0A81">
        <w:rPr>
          <w:sz w:val="22"/>
        </w:rPr>
        <w:t xml:space="preserve">he OPCC </w:t>
      </w:r>
      <w:r>
        <w:rPr>
          <w:sz w:val="22"/>
        </w:rPr>
        <w:t xml:space="preserve">launched a </w:t>
      </w:r>
      <w:r w:rsidR="00782550">
        <w:rPr>
          <w:sz w:val="22"/>
        </w:rPr>
        <w:t xml:space="preserve">public consultation </w:t>
      </w:r>
      <w:r>
        <w:rPr>
          <w:sz w:val="22"/>
        </w:rPr>
        <w:t xml:space="preserve">survey on 19 December 2018 with a closing date of 9 January 2019.  In total 8,031 people voted of which 5,599 or 69.7% of the public were in support of the </w:t>
      </w:r>
      <w:r w:rsidR="00782550">
        <w:rPr>
          <w:sz w:val="22"/>
        </w:rPr>
        <w:t xml:space="preserve">proposed </w:t>
      </w:r>
      <w:r w:rsidR="003D0A81">
        <w:rPr>
          <w:sz w:val="22"/>
        </w:rPr>
        <w:t xml:space="preserve">£24.00 council tax increase. </w:t>
      </w:r>
    </w:p>
    <w:p w14:paraId="0AF4D7B9" w14:textId="77777777" w:rsidR="003D0A81" w:rsidRDefault="003D0A81" w:rsidP="005B65D2">
      <w:pPr>
        <w:rPr>
          <w:sz w:val="22"/>
        </w:rPr>
      </w:pPr>
    </w:p>
    <w:p w14:paraId="41571968" w14:textId="42E73FF4" w:rsidR="003D0A81" w:rsidRDefault="00CF60E1" w:rsidP="005B65D2">
      <w:pPr>
        <w:rPr>
          <w:sz w:val="22"/>
        </w:rPr>
      </w:pPr>
      <w:r>
        <w:rPr>
          <w:sz w:val="22"/>
        </w:rPr>
        <w:t>(</w:t>
      </w:r>
      <w:r w:rsidR="003D0A81">
        <w:rPr>
          <w:sz w:val="22"/>
        </w:rPr>
        <w:t>CC Habgood</w:t>
      </w:r>
      <w:r>
        <w:rPr>
          <w:sz w:val="22"/>
        </w:rPr>
        <w:t>)</w:t>
      </w:r>
      <w:r w:rsidR="003D0A81">
        <w:rPr>
          <w:sz w:val="22"/>
        </w:rPr>
        <w:t xml:space="preserve"> noted that when </w:t>
      </w:r>
      <w:r>
        <w:rPr>
          <w:sz w:val="22"/>
        </w:rPr>
        <w:t xml:space="preserve">he last brought his </w:t>
      </w:r>
      <w:r w:rsidR="00782550">
        <w:rPr>
          <w:sz w:val="22"/>
        </w:rPr>
        <w:t xml:space="preserve">draft budget proposals </w:t>
      </w:r>
      <w:r>
        <w:rPr>
          <w:sz w:val="22"/>
        </w:rPr>
        <w:t xml:space="preserve">to the </w:t>
      </w:r>
      <w:r w:rsidR="00782550">
        <w:rPr>
          <w:sz w:val="22"/>
        </w:rPr>
        <w:t>PCC in November</w:t>
      </w:r>
      <w:r>
        <w:rPr>
          <w:sz w:val="22"/>
        </w:rPr>
        <w:t xml:space="preserve"> there was a </w:t>
      </w:r>
      <w:r w:rsidR="00782550">
        <w:rPr>
          <w:sz w:val="22"/>
        </w:rPr>
        <w:t xml:space="preserve">potential </w:t>
      </w:r>
      <w:r>
        <w:rPr>
          <w:sz w:val="22"/>
        </w:rPr>
        <w:t>shortfall of £</w:t>
      </w:r>
      <w:r w:rsidR="00782550">
        <w:rPr>
          <w:sz w:val="22"/>
        </w:rPr>
        <w:t>1</w:t>
      </w:r>
      <w:r>
        <w:rPr>
          <w:sz w:val="22"/>
        </w:rPr>
        <w:t>3m of pension costs and he had seen increasing demand around vulnerability and reports on complex areas of business. The Force had looked at the budget and needed to balance this over the next four years, finding £15m on today’s estimates which was a significant amount</w:t>
      </w:r>
      <w:r w:rsidR="005B6D04">
        <w:rPr>
          <w:sz w:val="22"/>
        </w:rPr>
        <w:t xml:space="preserve"> to find</w:t>
      </w:r>
      <w:r>
        <w:rPr>
          <w:sz w:val="22"/>
        </w:rPr>
        <w:t>.</w:t>
      </w:r>
    </w:p>
    <w:p w14:paraId="07084677" w14:textId="77777777" w:rsidR="00CF60E1" w:rsidRDefault="00CF60E1" w:rsidP="005B65D2">
      <w:pPr>
        <w:rPr>
          <w:sz w:val="22"/>
        </w:rPr>
      </w:pPr>
    </w:p>
    <w:p w14:paraId="571E00A0" w14:textId="42E8ACBD" w:rsidR="00CF60E1" w:rsidRDefault="00CF60E1" w:rsidP="005B65D2">
      <w:pPr>
        <w:rPr>
          <w:sz w:val="22"/>
        </w:rPr>
      </w:pPr>
      <w:r>
        <w:rPr>
          <w:sz w:val="22"/>
        </w:rPr>
        <w:t xml:space="preserve">In compiling the Medium Term Financial Plan (MTFP), (CC Habgood) ran through the assumptions that had been used on the basis of the plan for the next four years as well as inflation, noting that inflation costs over £10m per year </w:t>
      </w:r>
      <w:r w:rsidR="00782550">
        <w:rPr>
          <w:sz w:val="22"/>
        </w:rPr>
        <w:t xml:space="preserve">and </w:t>
      </w:r>
      <w:r>
        <w:rPr>
          <w:sz w:val="22"/>
        </w:rPr>
        <w:t xml:space="preserve">had to come out of the increase in </w:t>
      </w:r>
      <w:r w:rsidR="00782550">
        <w:rPr>
          <w:sz w:val="22"/>
        </w:rPr>
        <w:t xml:space="preserve">the </w:t>
      </w:r>
      <w:r>
        <w:rPr>
          <w:sz w:val="22"/>
        </w:rPr>
        <w:t xml:space="preserve">precept.  (CC Habgood) continued to summarise the paragraphs entitled Committed Growth, Current Service as Improved Service. </w:t>
      </w:r>
    </w:p>
    <w:p w14:paraId="7E028901" w14:textId="77777777" w:rsidR="00CF60E1" w:rsidRDefault="00CF60E1" w:rsidP="005B65D2">
      <w:pPr>
        <w:rPr>
          <w:sz w:val="22"/>
        </w:rPr>
      </w:pPr>
    </w:p>
    <w:p w14:paraId="679ED7A2" w14:textId="71A684B9" w:rsidR="00CF60E1" w:rsidRDefault="00CF60E1" w:rsidP="005B65D2">
      <w:pPr>
        <w:rPr>
          <w:sz w:val="22"/>
        </w:rPr>
      </w:pPr>
      <w:r>
        <w:rPr>
          <w:sz w:val="22"/>
        </w:rPr>
        <w:t>The main areas of additional investment, being funded through the increased council tax precept (£8.5m) were under the following schemes:</w:t>
      </w:r>
    </w:p>
    <w:p w14:paraId="481CF328" w14:textId="77777777" w:rsidR="00CF60E1" w:rsidRDefault="00CF60E1" w:rsidP="005B65D2">
      <w:pPr>
        <w:rPr>
          <w:sz w:val="22"/>
        </w:rPr>
      </w:pPr>
    </w:p>
    <w:p w14:paraId="30EF9150" w14:textId="488B9643" w:rsidR="00CF60E1" w:rsidRDefault="00CF60E1" w:rsidP="00CF60E1">
      <w:pPr>
        <w:pStyle w:val="ListParagraph"/>
        <w:numPr>
          <w:ilvl w:val="0"/>
          <w:numId w:val="41"/>
        </w:numPr>
        <w:rPr>
          <w:sz w:val="22"/>
        </w:rPr>
      </w:pPr>
      <w:r>
        <w:rPr>
          <w:sz w:val="22"/>
        </w:rPr>
        <w:t>Improved Services to the Public through Contact Management of £1.3m;</w:t>
      </w:r>
    </w:p>
    <w:p w14:paraId="42DD6273" w14:textId="2E10731D" w:rsidR="00CF60E1" w:rsidRDefault="00CF60E1" w:rsidP="00CF60E1">
      <w:pPr>
        <w:pStyle w:val="ListParagraph"/>
        <w:numPr>
          <w:ilvl w:val="0"/>
          <w:numId w:val="41"/>
        </w:numPr>
        <w:rPr>
          <w:sz w:val="22"/>
        </w:rPr>
      </w:pPr>
      <w:r>
        <w:rPr>
          <w:sz w:val="22"/>
        </w:rPr>
        <w:t>Increasing Local Front Line Policing and Service Delivery of £2.5m;</w:t>
      </w:r>
    </w:p>
    <w:p w14:paraId="19A91449" w14:textId="59F319A5" w:rsidR="00CF60E1" w:rsidRDefault="00CF60E1" w:rsidP="00CF60E1">
      <w:pPr>
        <w:pStyle w:val="ListParagraph"/>
        <w:numPr>
          <w:ilvl w:val="0"/>
          <w:numId w:val="41"/>
        </w:numPr>
        <w:rPr>
          <w:sz w:val="22"/>
        </w:rPr>
      </w:pPr>
      <w:r>
        <w:rPr>
          <w:sz w:val="22"/>
        </w:rPr>
        <w:t>Improved Investigative Capacity and Process for Complex Crimes of £2.2m; and</w:t>
      </w:r>
    </w:p>
    <w:p w14:paraId="067BE454" w14:textId="686B15CC" w:rsidR="00CF60E1" w:rsidRDefault="00CF60E1" w:rsidP="00CF60E1">
      <w:pPr>
        <w:pStyle w:val="ListParagraph"/>
        <w:numPr>
          <w:ilvl w:val="0"/>
          <w:numId w:val="41"/>
        </w:numPr>
        <w:rPr>
          <w:sz w:val="22"/>
        </w:rPr>
      </w:pPr>
      <w:r>
        <w:rPr>
          <w:sz w:val="22"/>
        </w:rPr>
        <w:t>Increasing the Digital Development Programme £2.5m</w:t>
      </w:r>
    </w:p>
    <w:p w14:paraId="707E440E" w14:textId="77777777" w:rsidR="00233F77" w:rsidRDefault="00233F77" w:rsidP="00233F77">
      <w:pPr>
        <w:rPr>
          <w:sz w:val="22"/>
        </w:rPr>
      </w:pPr>
    </w:p>
    <w:p w14:paraId="23D814F0" w14:textId="4F636225" w:rsidR="00233F77" w:rsidRDefault="00233F77" w:rsidP="00233F77">
      <w:pPr>
        <w:rPr>
          <w:sz w:val="22"/>
        </w:rPr>
      </w:pPr>
      <w:r>
        <w:rPr>
          <w:sz w:val="22"/>
        </w:rPr>
        <w:t>When looking at the areas of investment, they were in line with the Police &amp; Crime P</w:t>
      </w:r>
      <w:r w:rsidR="005B6D04">
        <w:rPr>
          <w:sz w:val="22"/>
        </w:rPr>
        <w:t>lan.  Details of these posts would</w:t>
      </w:r>
      <w:r>
        <w:rPr>
          <w:sz w:val="22"/>
        </w:rPr>
        <w:t xml:space="preserve"> change around the ability to recruit but would be discussed at a </w:t>
      </w:r>
      <w:r w:rsidR="00782550">
        <w:rPr>
          <w:sz w:val="22"/>
        </w:rPr>
        <w:t xml:space="preserve">CCMT </w:t>
      </w:r>
      <w:r>
        <w:rPr>
          <w:sz w:val="22"/>
        </w:rPr>
        <w:t>meeting on 14 February</w:t>
      </w:r>
      <w:r w:rsidR="005B6D04">
        <w:rPr>
          <w:sz w:val="22"/>
        </w:rPr>
        <w:t xml:space="preserve"> 2019</w:t>
      </w:r>
      <w:r>
        <w:rPr>
          <w:sz w:val="22"/>
        </w:rPr>
        <w:t>, subject to approval.</w:t>
      </w:r>
    </w:p>
    <w:p w14:paraId="33A7EF0A" w14:textId="77777777" w:rsidR="00233F77" w:rsidRDefault="00233F77" w:rsidP="00233F77">
      <w:pPr>
        <w:rPr>
          <w:sz w:val="22"/>
        </w:rPr>
      </w:pPr>
    </w:p>
    <w:p w14:paraId="63C564BA" w14:textId="38BB2E82" w:rsidR="004C6FBA" w:rsidRDefault="00233F77" w:rsidP="00233F77">
      <w:pPr>
        <w:rPr>
          <w:sz w:val="22"/>
        </w:rPr>
      </w:pPr>
      <w:r>
        <w:rPr>
          <w:sz w:val="22"/>
        </w:rPr>
        <w:t xml:space="preserve">As to establishment changes, (CC Habgood) noted that over the last seven years the Force had experienced reductions in both </w:t>
      </w:r>
      <w:r w:rsidR="004C6FBA">
        <w:rPr>
          <w:sz w:val="22"/>
        </w:rPr>
        <w:t xml:space="preserve">police staff and police officer posts.  Work was </w:t>
      </w:r>
      <w:r w:rsidR="005B6D04">
        <w:rPr>
          <w:sz w:val="22"/>
        </w:rPr>
        <w:t xml:space="preserve">still </w:t>
      </w:r>
      <w:r w:rsidR="004C6FBA">
        <w:rPr>
          <w:sz w:val="22"/>
        </w:rPr>
        <w:t>in progress to identify the most effective mix of resources and CCMT were constantly reviewing the balance of resources against demand.</w:t>
      </w:r>
    </w:p>
    <w:p w14:paraId="4E82DF21" w14:textId="77777777" w:rsidR="004C6FBA" w:rsidRDefault="004C6FBA" w:rsidP="00233F77">
      <w:pPr>
        <w:rPr>
          <w:sz w:val="22"/>
        </w:rPr>
      </w:pPr>
    </w:p>
    <w:p w14:paraId="40DCD866" w14:textId="7FF414CD" w:rsidR="005F2A7A" w:rsidRDefault="004C6FBA" w:rsidP="00233F77">
      <w:pPr>
        <w:rPr>
          <w:sz w:val="22"/>
        </w:rPr>
      </w:pPr>
      <w:r>
        <w:rPr>
          <w:sz w:val="22"/>
        </w:rPr>
        <w:t>As well as p</w:t>
      </w:r>
      <w:r w:rsidR="005B6D04">
        <w:rPr>
          <w:sz w:val="22"/>
        </w:rPr>
        <w:t>l</w:t>
      </w:r>
      <w:r>
        <w:rPr>
          <w:sz w:val="22"/>
        </w:rPr>
        <w:t xml:space="preserve">anning and assumptions, there were a number of risks and issues which had yet to be </w:t>
      </w:r>
      <w:r w:rsidR="00782550">
        <w:rPr>
          <w:sz w:val="22"/>
        </w:rPr>
        <w:t>q</w:t>
      </w:r>
      <w:r>
        <w:rPr>
          <w:sz w:val="22"/>
        </w:rPr>
        <w:t xml:space="preserve">uantified and (CC Habgood) summarised these on both a national and local level, noting in particular </w:t>
      </w:r>
      <w:r w:rsidR="005F2A7A">
        <w:rPr>
          <w:sz w:val="22"/>
        </w:rPr>
        <w:t>the potential conclusion of the Brexit discussions and the consequential impact this may have on police funding and grant allocations.</w:t>
      </w:r>
    </w:p>
    <w:p w14:paraId="2A1AA98A" w14:textId="77777777" w:rsidR="005F2A7A" w:rsidRDefault="005F2A7A" w:rsidP="00233F77">
      <w:pPr>
        <w:rPr>
          <w:sz w:val="22"/>
        </w:rPr>
      </w:pPr>
    </w:p>
    <w:p w14:paraId="2B9FEAEB" w14:textId="77777777" w:rsidR="00E95DE6" w:rsidRDefault="00E95DE6" w:rsidP="00233F77">
      <w:pPr>
        <w:rPr>
          <w:sz w:val="22"/>
        </w:rPr>
      </w:pPr>
      <w:r>
        <w:rPr>
          <w:sz w:val="22"/>
        </w:rPr>
        <w:t>Section 25 of the Local Government Act 2003 places a duty on the Chief Finance Officer to report on the robustness of the estimates and the adequacy of the reserves. (IT) explained the various risks on the budget and also the mitigating actions. He was satisfied that reserves were being used appropriately and the general reserve was at an adequate level.</w:t>
      </w:r>
    </w:p>
    <w:p w14:paraId="01E96CBF" w14:textId="77777777" w:rsidR="00E95DE6" w:rsidRDefault="00E95DE6" w:rsidP="00233F77">
      <w:pPr>
        <w:rPr>
          <w:sz w:val="22"/>
        </w:rPr>
      </w:pPr>
    </w:p>
    <w:p w14:paraId="72FD8053" w14:textId="4C853EC0" w:rsidR="00E95DE6" w:rsidRDefault="00E95DE6" w:rsidP="00233F77">
      <w:pPr>
        <w:rPr>
          <w:sz w:val="22"/>
        </w:rPr>
      </w:pPr>
      <w:r>
        <w:rPr>
          <w:sz w:val="22"/>
        </w:rPr>
        <w:t xml:space="preserve">The draft revenue budget is balanced in all 4 years (i.e. 2019/20 to 2022/23) with a £24 increase in council tax in 2019/20 followed by 2% per annum thereafter. </w:t>
      </w:r>
    </w:p>
    <w:p w14:paraId="6E22656E" w14:textId="77777777" w:rsidR="00E95DE6" w:rsidRDefault="00E95DE6" w:rsidP="00233F77">
      <w:pPr>
        <w:rPr>
          <w:sz w:val="22"/>
        </w:rPr>
      </w:pPr>
    </w:p>
    <w:p w14:paraId="594F632B" w14:textId="77777777" w:rsidR="00E95DE6" w:rsidRDefault="00E95DE6" w:rsidP="00AA5289">
      <w:pPr>
        <w:rPr>
          <w:sz w:val="22"/>
        </w:rPr>
      </w:pPr>
      <w:r w:rsidRPr="00AA5289">
        <w:rPr>
          <w:sz w:val="22"/>
        </w:rPr>
        <w:t>The MTFP provides for inflationary increases and limited investment to address some service and performance issues by increasing our resources, both police officers and police staff, alongside investing in the technology to make our staff more productive.  The investment has only been possible because of the additional flexibility in the council tax precept.</w:t>
      </w:r>
    </w:p>
    <w:p w14:paraId="4C7D5836" w14:textId="77777777" w:rsidR="00E95DE6" w:rsidRPr="00AA5289" w:rsidRDefault="00E95DE6" w:rsidP="00AA5289">
      <w:pPr>
        <w:rPr>
          <w:sz w:val="22"/>
        </w:rPr>
      </w:pPr>
    </w:p>
    <w:p w14:paraId="559C3F03" w14:textId="77777777" w:rsidR="00E95DE6" w:rsidRDefault="00E95DE6" w:rsidP="00AA5289">
      <w:pPr>
        <w:rPr>
          <w:sz w:val="22"/>
        </w:rPr>
      </w:pPr>
      <w:r w:rsidRPr="00AA5289">
        <w:rPr>
          <w:sz w:val="22"/>
        </w:rPr>
        <w:t>The Force continues to prioritise its work on the Productivity Strategy to ensure resources are directed to priority areas and that services are delivered in the most effective and efficient manner.  This work focuses the drive for continuous improvement, improved efficiency and alignment of resources with demand.   It will continue to release savings in future years in order to address future unquantified demands and provide additional resource to reinvest in priority policing areas</w:t>
      </w:r>
    </w:p>
    <w:p w14:paraId="7FADDE4A" w14:textId="77777777" w:rsidR="00E95DE6" w:rsidRPr="00AA5289" w:rsidRDefault="00E95DE6" w:rsidP="00AA5289">
      <w:pPr>
        <w:rPr>
          <w:sz w:val="22"/>
        </w:rPr>
      </w:pPr>
    </w:p>
    <w:p w14:paraId="662A407C" w14:textId="430B991A" w:rsidR="00E95DE6" w:rsidRPr="00AA5289" w:rsidRDefault="00E95DE6" w:rsidP="00AA5289">
      <w:pPr>
        <w:rPr>
          <w:sz w:val="22"/>
        </w:rPr>
      </w:pPr>
      <w:r>
        <w:rPr>
          <w:sz w:val="22"/>
        </w:rPr>
        <w:t xml:space="preserve">The </w:t>
      </w:r>
      <w:r w:rsidRPr="00AA5289">
        <w:rPr>
          <w:sz w:val="22"/>
        </w:rPr>
        <w:t xml:space="preserve">MTFP requires revenue savings of at £15.1m over the next four years. This is over and above the £101m of cash savings already removed from the base budget in the last eight years (i.e. 2010/11 to 2018/19) meaning that, over the twelve year period in excess of £116m will have been taken out of the base revenue budget. </w:t>
      </w:r>
    </w:p>
    <w:p w14:paraId="389A22D3" w14:textId="77777777" w:rsidR="00E95DE6" w:rsidRDefault="00E95DE6" w:rsidP="00233F77">
      <w:pPr>
        <w:rPr>
          <w:sz w:val="22"/>
        </w:rPr>
      </w:pPr>
    </w:p>
    <w:p w14:paraId="2070F5A1" w14:textId="1F682A9C" w:rsidR="00E95DE6" w:rsidRDefault="00221355" w:rsidP="00BC24B8">
      <w:pPr>
        <w:rPr>
          <w:sz w:val="22"/>
          <w:szCs w:val="22"/>
        </w:rPr>
      </w:pPr>
      <w:r>
        <w:rPr>
          <w:sz w:val="22"/>
          <w:szCs w:val="22"/>
        </w:rPr>
        <w:t xml:space="preserve">The PCC </w:t>
      </w:r>
      <w:r w:rsidRPr="00AA5289">
        <w:rPr>
          <w:b/>
          <w:sz w:val="22"/>
          <w:szCs w:val="22"/>
        </w:rPr>
        <w:t>A</w:t>
      </w:r>
      <w:r w:rsidR="00E95DE6" w:rsidRPr="00AA5289">
        <w:rPr>
          <w:b/>
          <w:sz w:val="22"/>
          <w:szCs w:val="22"/>
        </w:rPr>
        <w:t>GREED</w:t>
      </w:r>
      <w:r w:rsidR="00E95DE6" w:rsidRPr="00AA5289">
        <w:rPr>
          <w:sz w:val="22"/>
          <w:szCs w:val="22"/>
        </w:rPr>
        <w:t xml:space="preserve"> to notify the police and Crime Panel </w:t>
      </w:r>
      <w:r w:rsidR="00E95DE6">
        <w:rPr>
          <w:sz w:val="22"/>
          <w:szCs w:val="22"/>
        </w:rPr>
        <w:t>that:</w:t>
      </w:r>
    </w:p>
    <w:p w14:paraId="1BA6092B" w14:textId="77777777" w:rsidR="00E95DE6" w:rsidRDefault="00E95DE6" w:rsidP="00BC24B8">
      <w:pPr>
        <w:rPr>
          <w:sz w:val="22"/>
          <w:szCs w:val="22"/>
        </w:rPr>
      </w:pPr>
    </w:p>
    <w:p w14:paraId="6271F307" w14:textId="7ABE0654" w:rsidR="00E95DE6" w:rsidRPr="00AA5289" w:rsidRDefault="00E95DE6" w:rsidP="00AA5289">
      <w:pPr>
        <w:pStyle w:val="ListParagraph"/>
        <w:numPr>
          <w:ilvl w:val="0"/>
          <w:numId w:val="45"/>
        </w:numPr>
        <w:rPr>
          <w:bCs/>
          <w:sz w:val="22"/>
        </w:rPr>
      </w:pPr>
      <w:r w:rsidRPr="00AA5289">
        <w:rPr>
          <w:bCs/>
          <w:sz w:val="22"/>
        </w:rPr>
        <w:t>That the council tax requirement for 2019/20 be set at £186</w:t>
      </w:r>
      <w:r>
        <w:rPr>
          <w:bCs/>
          <w:sz w:val="22"/>
        </w:rPr>
        <w:t>.562m</w:t>
      </w:r>
      <w:r w:rsidRPr="00AA5289">
        <w:rPr>
          <w:bCs/>
          <w:sz w:val="22"/>
        </w:rPr>
        <w:t xml:space="preserve">. </w:t>
      </w:r>
    </w:p>
    <w:p w14:paraId="48852C7C" w14:textId="77777777" w:rsidR="00E95DE6" w:rsidRPr="00AA5289" w:rsidRDefault="00E95DE6" w:rsidP="00AA5289">
      <w:pPr>
        <w:pStyle w:val="ListParagraph"/>
        <w:numPr>
          <w:ilvl w:val="0"/>
          <w:numId w:val="45"/>
        </w:numPr>
        <w:rPr>
          <w:bCs/>
          <w:sz w:val="22"/>
        </w:rPr>
      </w:pPr>
      <w:r w:rsidRPr="00AA5289">
        <w:rPr>
          <w:bCs/>
          <w:sz w:val="22"/>
        </w:rPr>
        <w:t>The revenue estimates for 2019/20 as set out in Appendix 1</w:t>
      </w:r>
    </w:p>
    <w:p w14:paraId="38085BD3" w14:textId="77777777" w:rsidR="00E95DE6" w:rsidRPr="00AA5289" w:rsidRDefault="00E95DE6" w:rsidP="00AA5289">
      <w:pPr>
        <w:pStyle w:val="ListParagraph"/>
        <w:numPr>
          <w:ilvl w:val="0"/>
          <w:numId w:val="45"/>
        </w:numPr>
        <w:rPr>
          <w:bCs/>
          <w:sz w:val="22"/>
        </w:rPr>
      </w:pPr>
      <w:r w:rsidRPr="00AA5289">
        <w:rPr>
          <w:bCs/>
          <w:sz w:val="22"/>
        </w:rPr>
        <w:t>That the police element of the council tax for 2019/20 be set at £206.28 for properties in Band D, with the charge for other bands as set out in Table 1.</w:t>
      </w:r>
    </w:p>
    <w:p w14:paraId="6C2CA135" w14:textId="77777777" w:rsidR="00E95DE6" w:rsidRDefault="00E95DE6" w:rsidP="00E95DE6">
      <w:pPr>
        <w:rPr>
          <w:b/>
          <w:sz w:val="22"/>
          <w:szCs w:val="22"/>
        </w:rPr>
      </w:pPr>
    </w:p>
    <w:p w14:paraId="33B79222" w14:textId="77777777" w:rsidR="00E95DE6" w:rsidRPr="00E95DE6" w:rsidRDefault="00E95DE6" w:rsidP="00E95DE6">
      <w:pPr>
        <w:rPr>
          <w:b/>
          <w:sz w:val="22"/>
          <w:szCs w:val="22"/>
        </w:rPr>
      </w:pPr>
      <w:r w:rsidRPr="00E95DE6">
        <w:rPr>
          <w:b/>
          <w:sz w:val="22"/>
          <w:szCs w:val="22"/>
        </w:rPr>
        <w:t xml:space="preserve">Table 1 – Council tax 2019/20 </w:t>
      </w:r>
    </w:p>
    <w:tbl>
      <w:tblPr>
        <w:tblW w:w="8363" w:type="dxa"/>
        <w:tblInd w:w="7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70"/>
        <w:gridCol w:w="2191"/>
        <w:gridCol w:w="3002"/>
      </w:tblGrid>
      <w:tr w:rsidR="00E95DE6" w:rsidRPr="00E95DE6" w14:paraId="4A8017D2" w14:textId="77777777" w:rsidTr="00B96564">
        <w:tc>
          <w:tcPr>
            <w:tcW w:w="3170" w:type="dxa"/>
            <w:shd w:val="clear" w:color="auto" w:fill="D9D9D9"/>
          </w:tcPr>
          <w:p w14:paraId="246DEC15" w14:textId="77777777" w:rsidR="00E95DE6" w:rsidRPr="00E95DE6" w:rsidRDefault="00E95DE6" w:rsidP="00E95DE6">
            <w:pPr>
              <w:rPr>
                <w:bCs/>
                <w:sz w:val="22"/>
                <w:szCs w:val="22"/>
              </w:rPr>
            </w:pPr>
            <w:r w:rsidRPr="00E95DE6">
              <w:rPr>
                <w:bCs/>
                <w:sz w:val="22"/>
                <w:szCs w:val="22"/>
              </w:rPr>
              <w:t>Property</w:t>
            </w:r>
          </w:p>
          <w:p w14:paraId="2806B148" w14:textId="77777777" w:rsidR="00E95DE6" w:rsidRPr="00E95DE6" w:rsidRDefault="00E95DE6" w:rsidP="00E95DE6">
            <w:pPr>
              <w:rPr>
                <w:bCs/>
                <w:sz w:val="22"/>
                <w:szCs w:val="22"/>
              </w:rPr>
            </w:pPr>
            <w:r w:rsidRPr="00E95DE6">
              <w:rPr>
                <w:bCs/>
                <w:sz w:val="22"/>
                <w:szCs w:val="22"/>
              </w:rPr>
              <w:t>Band</w:t>
            </w:r>
          </w:p>
        </w:tc>
        <w:tc>
          <w:tcPr>
            <w:tcW w:w="2191" w:type="dxa"/>
            <w:shd w:val="clear" w:color="auto" w:fill="D9D9D9"/>
          </w:tcPr>
          <w:p w14:paraId="23CBCDDB" w14:textId="77777777" w:rsidR="00E95DE6" w:rsidRPr="00E95DE6" w:rsidRDefault="00E95DE6" w:rsidP="00E95DE6">
            <w:pPr>
              <w:rPr>
                <w:bCs/>
                <w:sz w:val="22"/>
                <w:szCs w:val="22"/>
              </w:rPr>
            </w:pPr>
            <w:r w:rsidRPr="00E95DE6">
              <w:rPr>
                <w:bCs/>
                <w:sz w:val="22"/>
                <w:szCs w:val="22"/>
              </w:rPr>
              <w:t>Relevant</w:t>
            </w:r>
          </w:p>
          <w:p w14:paraId="5CA514F6" w14:textId="77777777" w:rsidR="00E95DE6" w:rsidRPr="00E95DE6" w:rsidRDefault="00E95DE6" w:rsidP="00E95DE6">
            <w:pPr>
              <w:rPr>
                <w:bCs/>
                <w:sz w:val="22"/>
                <w:szCs w:val="22"/>
              </w:rPr>
            </w:pPr>
            <w:r w:rsidRPr="00E95DE6">
              <w:rPr>
                <w:bCs/>
                <w:sz w:val="22"/>
                <w:szCs w:val="22"/>
              </w:rPr>
              <w:t>Proportion</w:t>
            </w:r>
          </w:p>
        </w:tc>
        <w:tc>
          <w:tcPr>
            <w:tcW w:w="3002" w:type="dxa"/>
            <w:shd w:val="clear" w:color="auto" w:fill="D9D9D9"/>
          </w:tcPr>
          <w:p w14:paraId="4422095E" w14:textId="77777777" w:rsidR="00E95DE6" w:rsidRPr="00E95DE6" w:rsidRDefault="00E95DE6" w:rsidP="00E95DE6">
            <w:pPr>
              <w:rPr>
                <w:bCs/>
                <w:sz w:val="22"/>
                <w:szCs w:val="22"/>
              </w:rPr>
            </w:pPr>
            <w:r w:rsidRPr="00E95DE6">
              <w:rPr>
                <w:bCs/>
                <w:sz w:val="22"/>
                <w:szCs w:val="22"/>
              </w:rPr>
              <w:t>PCC Element of the</w:t>
            </w:r>
          </w:p>
          <w:p w14:paraId="68CE397B" w14:textId="77777777" w:rsidR="00E95DE6" w:rsidRPr="00E95DE6" w:rsidRDefault="00E95DE6" w:rsidP="00E95DE6">
            <w:pPr>
              <w:rPr>
                <w:bCs/>
                <w:sz w:val="22"/>
                <w:szCs w:val="22"/>
              </w:rPr>
            </w:pPr>
            <w:r w:rsidRPr="00E95DE6">
              <w:rPr>
                <w:bCs/>
                <w:sz w:val="22"/>
                <w:szCs w:val="22"/>
              </w:rPr>
              <w:t>Council Tax £</w:t>
            </w:r>
          </w:p>
        </w:tc>
      </w:tr>
      <w:tr w:rsidR="00E95DE6" w:rsidRPr="00E95DE6" w14:paraId="0C1A7D9E" w14:textId="77777777" w:rsidTr="00B96564">
        <w:tc>
          <w:tcPr>
            <w:tcW w:w="3170" w:type="dxa"/>
          </w:tcPr>
          <w:p w14:paraId="2F1EC1F6" w14:textId="77777777" w:rsidR="00E95DE6" w:rsidRPr="00E95DE6" w:rsidRDefault="00E95DE6" w:rsidP="00E95DE6">
            <w:pPr>
              <w:rPr>
                <w:bCs/>
                <w:sz w:val="22"/>
                <w:szCs w:val="22"/>
              </w:rPr>
            </w:pPr>
            <w:r w:rsidRPr="00E95DE6">
              <w:rPr>
                <w:bCs/>
                <w:sz w:val="22"/>
                <w:szCs w:val="22"/>
              </w:rPr>
              <w:t>A</w:t>
            </w:r>
          </w:p>
        </w:tc>
        <w:tc>
          <w:tcPr>
            <w:tcW w:w="2191" w:type="dxa"/>
          </w:tcPr>
          <w:p w14:paraId="4A03B8B5" w14:textId="77777777" w:rsidR="00E95DE6" w:rsidRPr="00E95DE6" w:rsidRDefault="00E95DE6" w:rsidP="00E95DE6">
            <w:pPr>
              <w:rPr>
                <w:bCs/>
                <w:sz w:val="22"/>
                <w:szCs w:val="22"/>
              </w:rPr>
            </w:pPr>
            <w:r w:rsidRPr="00E95DE6">
              <w:rPr>
                <w:bCs/>
                <w:sz w:val="22"/>
                <w:szCs w:val="22"/>
                <w:vertAlign w:val="superscript"/>
              </w:rPr>
              <w:t>6</w:t>
            </w:r>
            <w:r w:rsidRPr="00E95DE6">
              <w:rPr>
                <w:bCs/>
                <w:sz w:val="22"/>
                <w:szCs w:val="22"/>
              </w:rPr>
              <w:t>/</w:t>
            </w:r>
            <w:r w:rsidRPr="00E95DE6">
              <w:rPr>
                <w:bCs/>
                <w:sz w:val="22"/>
                <w:szCs w:val="22"/>
                <w:vertAlign w:val="subscript"/>
              </w:rPr>
              <w:t>9</w:t>
            </w:r>
          </w:p>
        </w:tc>
        <w:tc>
          <w:tcPr>
            <w:tcW w:w="3002" w:type="dxa"/>
          </w:tcPr>
          <w:p w14:paraId="0BD1D664" w14:textId="77777777" w:rsidR="00E95DE6" w:rsidRPr="00E95DE6" w:rsidRDefault="00E95DE6" w:rsidP="00E95DE6">
            <w:pPr>
              <w:rPr>
                <w:bCs/>
                <w:sz w:val="22"/>
                <w:szCs w:val="22"/>
              </w:rPr>
            </w:pPr>
            <w:r w:rsidRPr="00E95DE6">
              <w:rPr>
                <w:bCs/>
                <w:sz w:val="22"/>
                <w:szCs w:val="22"/>
              </w:rPr>
              <w:t>137.52</w:t>
            </w:r>
          </w:p>
        </w:tc>
      </w:tr>
      <w:tr w:rsidR="00E95DE6" w:rsidRPr="00E95DE6" w14:paraId="0B6758BD" w14:textId="77777777" w:rsidTr="00B96564">
        <w:tc>
          <w:tcPr>
            <w:tcW w:w="3170" w:type="dxa"/>
          </w:tcPr>
          <w:p w14:paraId="6F51CE38" w14:textId="77777777" w:rsidR="00E95DE6" w:rsidRPr="00E95DE6" w:rsidRDefault="00E95DE6" w:rsidP="00E95DE6">
            <w:pPr>
              <w:rPr>
                <w:bCs/>
                <w:sz w:val="22"/>
                <w:szCs w:val="22"/>
              </w:rPr>
            </w:pPr>
            <w:r w:rsidRPr="00E95DE6">
              <w:rPr>
                <w:bCs/>
                <w:sz w:val="22"/>
                <w:szCs w:val="22"/>
              </w:rPr>
              <w:t>B</w:t>
            </w:r>
          </w:p>
        </w:tc>
        <w:tc>
          <w:tcPr>
            <w:tcW w:w="2191" w:type="dxa"/>
          </w:tcPr>
          <w:p w14:paraId="3061208C" w14:textId="77777777" w:rsidR="00E95DE6" w:rsidRPr="00E95DE6" w:rsidRDefault="00E95DE6" w:rsidP="00E95DE6">
            <w:pPr>
              <w:rPr>
                <w:bCs/>
                <w:sz w:val="22"/>
                <w:szCs w:val="22"/>
              </w:rPr>
            </w:pPr>
            <w:r w:rsidRPr="00E95DE6">
              <w:rPr>
                <w:bCs/>
                <w:sz w:val="22"/>
                <w:szCs w:val="22"/>
                <w:vertAlign w:val="superscript"/>
              </w:rPr>
              <w:t>7</w:t>
            </w:r>
            <w:r w:rsidRPr="00E95DE6">
              <w:rPr>
                <w:bCs/>
                <w:sz w:val="22"/>
                <w:szCs w:val="22"/>
              </w:rPr>
              <w:t>/</w:t>
            </w:r>
            <w:r w:rsidRPr="00E95DE6">
              <w:rPr>
                <w:bCs/>
                <w:sz w:val="22"/>
                <w:szCs w:val="22"/>
                <w:vertAlign w:val="subscript"/>
              </w:rPr>
              <w:t>9</w:t>
            </w:r>
          </w:p>
        </w:tc>
        <w:tc>
          <w:tcPr>
            <w:tcW w:w="3002" w:type="dxa"/>
          </w:tcPr>
          <w:p w14:paraId="192A6B69" w14:textId="77777777" w:rsidR="00E95DE6" w:rsidRPr="00E95DE6" w:rsidRDefault="00E95DE6" w:rsidP="00E95DE6">
            <w:pPr>
              <w:rPr>
                <w:bCs/>
                <w:sz w:val="22"/>
                <w:szCs w:val="22"/>
              </w:rPr>
            </w:pPr>
            <w:r w:rsidRPr="00E95DE6">
              <w:rPr>
                <w:bCs/>
                <w:sz w:val="22"/>
                <w:szCs w:val="22"/>
              </w:rPr>
              <w:t>160.44</w:t>
            </w:r>
          </w:p>
        </w:tc>
      </w:tr>
      <w:tr w:rsidR="00E95DE6" w:rsidRPr="00E95DE6" w14:paraId="0A7F0A66" w14:textId="77777777" w:rsidTr="00B96564">
        <w:tc>
          <w:tcPr>
            <w:tcW w:w="3170" w:type="dxa"/>
          </w:tcPr>
          <w:p w14:paraId="16C409FA" w14:textId="77777777" w:rsidR="00E95DE6" w:rsidRPr="00E95DE6" w:rsidRDefault="00E95DE6" w:rsidP="00E95DE6">
            <w:pPr>
              <w:rPr>
                <w:bCs/>
                <w:sz w:val="22"/>
                <w:szCs w:val="22"/>
              </w:rPr>
            </w:pPr>
            <w:r w:rsidRPr="00E95DE6">
              <w:rPr>
                <w:bCs/>
                <w:sz w:val="22"/>
                <w:szCs w:val="22"/>
              </w:rPr>
              <w:t>C</w:t>
            </w:r>
          </w:p>
        </w:tc>
        <w:tc>
          <w:tcPr>
            <w:tcW w:w="2191" w:type="dxa"/>
          </w:tcPr>
          <w:p w14:paraId="79BF81F3" w14:textId="77777777" w:rsidR="00E95DE6" w:rsidRPr="00E95DE6" w:rsidRDefault="00E95DE6" w:rsidP="00E95DE6">
            <w:pPr>
              <w:rPr>
                <w:bCs/>
                <w:sz w:val="22"/>
                <w:szCs w:val="22"/>
              </w:rPr>
            </w:pPr>
            <w:r w:rsidRPr="00E95DE6">
              <w:rPr>
                <w:bCs/>
                <w:sz w:val="22"/>
                <w:szCs w:val="22"/>
                <w:vertAlign w:val="superscript"/>
              </w:rPr>
              <w:t>8/</w:t>
            </w:r>
            <w:r w:rsidRPr="00E95DE6">
              <w:rPr>
                <w:bCs/>
                <w:sz w:val="22"/>
                <w:szCs w:val="22"/>
                <w:vertAlign w:val="subscript"/>
              </w:rPr>
              <w:t>9</w:t>
            </w:r>
          </w:p>
        </w:tc>
        <w:tc>
          <w:tcPr>
            <w:tcW w:w="3002" w:type="dxa"/>
          </w:tcPr>
          <w:p w14:paraId="42E94814" w14:textId="77777777" w:rsidR="00E95DE6" w:rsidRPr="00E95DE6" w:rsidRDefault="00E95DE6" w:rsidP="00E95DE6">
            <w:pPr>
              <w:rPr>
                <w:bCs/>
                <w:sz w:val="22"/>
                <w:szCs w:val="22"/>
              </w:rPr>
            </w:pPr>
            <w:r w:rsidRPr="00E95DE6">
              <w:rPr>
                <w:bCs/>
                <w:sz w:val="22"/>
                <w:szCs w:val="22"/>
              </w:rPr>
              <w:t>183.36</w:t>
            </w:r>
          </w:p>
        </w:tc>
      </w:tr>
      <w:tr w:rsidR="00E95DE6" w:rsidRPr="00E95DE6" w14:paraId="3A3E647F" w14:textId="77777777" w:rsidTr="00B96564">
        <w:tc>
          <w:tcPr>
            <w:tcW w:w="3170" w:type="dxa"/>
          </w:tcPr>
          <w:p w14:paraId="46BEAA72" w14:textId="77777777" w:rsidR="00E95DE6" w:rsidRPr="00E95DE6" w:rsidRDefault="00E95DE6" w:rsidP="00E95DE6">
            <w:pPr>
              <w:rPr>
                <w:bCs/>
                <w:sz w:val="22"/>
                <w:szCs w:val="22"/>
              </w:rPr>
            </w:pPr>
            <w:r w:rsidRPr="00E95DE6">
              <w:rPr>
                <w:bCs/>
                <w:sz w:val="22"/>
                <w:szCs w:val="22"/>
              </w:rPr>
              <w:t>D</w:t>
            </w:r>
          </w:p>
        </w:tc>
        <w:tc>
          <w:tcPr>
            <w:tcW w:w="2191" w:type="dxa"/>
          </w:tcPr>
          <w:p w14:paraId="1B9DA485" w14:textId="77777777" w:rsidR="00E95DE6" w:rsidRPr="00E95DE6" w:rsidRDefault="00E95DE6" w:rsidP="00E95DE6">
            <w:pPr>
              <w:rPr>
                <w:bCs/>
                <w:sz w:val="22"/>
                <w:szCs w:val="22"/>
              </w:rPr>
            </w:pPr>
            <w:r w:rsidRPr="00E95DE6">
              <w:rPr>
                <w:bCs/>
                <w:sz w:val="22"/>
                <w:szCs w:val="22"/>
                <w:vertAlign w:val="superscript"/>
              </w:rPr>
              <w:t>9</w:t>
            </w:r>
            <w:r w:rsidRPr="00E95DE6">
              <w:rPr>
                <w:bCs/>
                <w:sz w:val="22"/>
                <w:szCs w:val="22"/>
              </w:rPr>
              <w:t>/</w:t>
            </w:r>
            <w:r w:rsidRPr="00E95DE6">
              <w:rPr>
                <w:bCs/>
                <w:sz w:val="22"/>
                <w:szCs w:val="22"/>
                <w:vertAlign w:val="subscript"/>
              </w:rPr>
              <w:t>9</w:t>
            </w:r>
          </w:p>
        </w:tc>
        <w:tc>
          <w:tcPr>
            <w:tcW w:w="3002" w:type="dxa"/>
          </w:tcPr>
          <w:p w14:paraId="09BD3246" w14:textId="77777777" w:rsidR="00E95DE6" w:rsidRPr="00E95DE6" w:rsidRDefault="00E95DE6" w:rsidP="00E95DE6">
            <w:pPr>
              <w:rPr>
                <w:bCs/>
                <w:sz w:val="22"/>
                <w:szCs w:val="22"/>
              </w:rPr>
            </w:pPr>
            <w:r w:rsidRPr="00E95DE6">
              <w:rPr>
                <w:bCs/>
                <w:sz w:val="22"/>
                <w:szCs w:val="22"/>
              </w:rPr>
              <w:t>206.28</w:t>
            </w:r>
          </w:p>
        </w:tc>
      </w:tr>
      <w:tr w:rsidR="00E95DE6" w:rsidRPr="00E95DE6" w14:paraId="253B8D56" w14:textId="77777777" w:rsidTr="00B96564">
        <w:tc>
          <w:tcPr>
            <w:tcW w:w="3170" w:type="dxa"/>
          </w:tcPr>
          <w:p w14:paraId="06A23767" w14:textId="77777777" w:rsidR="00E95DE6" w:rsidRPr="00E95DE6" w:rsidRDefault="00E95DE6" w:rsidP="00E95DE6">
            <w:pPr>
              <w:rPr>
                <w:bCs/>
                <w:sz w:val="22"/>
                <w:szCs w:val="22"/>
              </w:rPr>
            </w:pPr>
            <w:r w:rsidRPr="00E95DE6">
              <w:rPr>
                <w:bCs/>
                <w:sz w:val="22"/>
                <w:szCs w:val="22"/>
              </w:rPr>
              <w:t>E</w:t>
            </w:r>
          </w:p>
        </w:tc>
        <w:tc>
          <w:tcPr>
            <w:tcW w:w="2191" w:type="dxa"/>
          </w:tcPr>
          <w:p w14:paraId="1834270A" w14:textId="77777777" w:rsidR="00E95DE6" w:rsidRPr="00E95DE6" w:rsidRDefault="00E95DE6" w:rsidP="00E95DE6">
            <w:pPr>
              <w:rPr>
                <w:bCs/>
                <w:sz w:val="22"/>
                <w:szCs w:val="22"/>
              </w:rPr>
            </w:pPr>
            <w:r w:rsidRPr="00E95DE6">
              <w:rPr>
                <w:bCs/>
                <w:sz w:val="22"/>
                <w:szCs w:val="22"/>
                <w:vertAlign w:val="superscript"/>
              </w:rPr>
              <w:t>11</w:t>
            </w:r>
            <w:r w:rsidRPr="00E95DE6">
              <w:rPr>
                <w:bCs/>
                <w:sz w:val="22"/>
                <w:szCs w:val="22"/>
              </w:rPr>
              <w:t>/</w:t>
            </w:r>
            <w:r w:rsidRPr="00E95DE6">
              <w:rPr>
                <w:bCs/>
                <w:sz w:val="22"/>
                <w:szCs w:val="22"/>
                <w:vertAlign w:val="subscript"/>
              </w:rPr>
              <w:t>9</w:t>
            </w:r>
          </w:p>
        </w:tc>
        <w:tc>
          <w:tcPr>
            <w:tcW w:w="3002" w:type="dxa"/>
          </w:tcPr>
          <w:p w14:paraId="23CA5C16" w14:textId="77777777" w:rsidR="00E95DE6" w:rsidRPr="00E95DE6" w:rsidRDefault="00E95DE6" w:rsidP="00E95DE6">
            <w:pPr>
              <w:rPr>
                <w:bCs/>
                <w:sz w:val="22"/>
                <w:szCs w:val="22"/>
              </w:rPr>
            </w:pPr>
            <w:r w:rsidRPr="00E95DE6">
              <w:rPr>
                <w:bCs/>
                <w:sz w:val="22"/>
                <w:szCs w:val="22"/>
              </w:rPr>
              <w:t>252.12</w:t>
            </w:r>
          </w:p>
        </w:tc>
      </w:tr>
      <w:tr w:rsidR="00E95DE6" w:rsidRPr="00E95DE6" w14:paraId="0D137654" w14:textId="77777777" w:rsidTr="00B96564">
        <w:tc>
          <w:tcPr>
            <w:tcW w:w="3170" w:type="dxa"/>
          </w:tcPr>
          <w:p w14:paraId="78A9F1CF" w14:textId="77777777" w:rsidR="00E95DE6" w:rsidRPr="00E95DE6" w:rsidRDefault="00E95DE6" w:rsidP="00E95DE6">
            <w:pPr>
              <w:rPr>
                <w:bCs/>
                <w:sz w:val="22"/>
                <w:szCs w:val="22"/>
              </w:rPr>
            </w:pPr>
            <w:r w:rsidRPr="00E95DE6">
              <w:rPr>
                <w:bCs/>
                <w:sz w:val="22"/>
                <w:szCs w:val="22"/>
              </w:rPr>
              <w:t>F</w:t>
            </w:r>
          </w:p>
        </w:tc>
        <w:tc>
          <w:tcPr>
            <w:tcW w:w="2191" w:type="dxa"/>
          </w:tcPr>
          <w:p w14:paraId="2AAE7CAD" w14:textId="77777777" w:rsidR="00E95DE6" w:rsidRPr="00E95DE6" w:rsidRDefault="00E95DE6" w:rsidP="00E95DE6">
            <w:pPr>
              <w:rPr>
                <w:bCs/>
                <w:sz w:val="22"/>
                <w:szCs w:val="22"/>
              </w:rPr>
            </w:pPr>
            <w:r w:rsidRPr="00E95DE6">
              <w:rPr>
                <w:bCs/>
                <w:sz w:val="22"/>
                <w:szCs w:val="22"/>
                <w:vertAlign w:val="superscript"/>
              </w:rPr>
              <w:t>13</w:t>
            </w:r>
            <w:r w:rsidRPr="00E95DE6">
              <w:rPr>
                <w:bCs/>
                <w:sz w:val="22"/>
                <w:szCs w:val="22"/>
              </w:rPr>
              <w:t>/</w:t>
            </w:r>
            <w:r w:rsidRPr="00E95DE6">
              <w:rPr>
                <w:bCs/>
                <w:sz w:val="22"/>
                <w:szCs w:val="22"/>
                <w:vertAlign w:val="subscript"/>
              </w:rPr>
              <w:t>9</w:t>
            </w:r>
          </w:p>
        </w:tc>
        <w:tc>
          <w:tcPr>
            <w:tcW w:w="3002" w:type="dxa"/>
          </w:tcPr>
          <w:p w14:paraId="02F1B0AC" w14:textId="77777777" w:rsidR="00E95DE6" w:rsidRPr="00E95DE6" w:rsidRDefault="00E95DE6" w:rsidP="00E95DE6">
            <w:pPr>
              <w:rPr>
                <w:bCs/>
                <w:sz w:val="22"/>
                <w:szCs w:val="22"/>
              </w:rPr>
            </w:pPr>
            <w:r w:rsidRPr="00E95DE6">
              <w:rPr>
                <w:bCs/>
                <w:sz w:val="22"/>
                <w:szCs w:val="22"/>
              </w:rPr>
              <w:t>297.26</w:t>
            </w:r>
          </w:p>
        </w:tc>
      </w:tr>
      <w:tr w:rsidR="00E95DE6" w:rsidRPr="00E95DE6" w14:paraId="5CE1B5AA" w14:textId="77777777" w:rsidTr="00B96564">
        <w:tc>
          <w:tcPr>
            <w:tcW w:w="3170" w:type="dxa"/>
          </w:tcPr>
          <w:p w14:paraId="3EAF1EB4" w14:textId="77777777" w:rsidR="00E95DE6" w:rsidRPr="00E95DE6" w:rsidRDefault="00E95DE6" w:rsidP="00E95DE6">
            <w:pPr>
              <w:rPr>
                <w:bCs/>
                <w:sz w:val="22"/>
                <w:szCs w:val="22"/>
              </w:rPr>
            </w:pPr>
            <w:r w:rsidRPr="00E95DE6">
              <w:rPr>
                <w:bCs/>
                <w:sz w:val="22"/>
                <w:szCs w:val="22"/>
              </w:rPr>
              <w:t>G</w:t>
            </w:r>
          </w:p>
        </w:tc>
        <w:tc>
          <w:tcPr>
            <w:tcW w:w="2191" w:type="dxa"/>
          </w:tcPr>
          <w:p w14:paraId="5F39B3F9" w14:textId="77777777" w:rsidR="00E95DE6" w:rsidRPr="00E95DE6" w:rsidRDefault="00E95DE6" w:rsidP="00E95DE6">
            <w:pPr>
              <w:rPr>
                <w:bCs/>
                <w:sz w:val="22"/>
                <w:szCs w:val="22"/>
              </w:rPr>
            </w:pPr>
            <w:r w:rsidRPr="00E95DE6">
              <w:rPr>
                <w:bCs/>
                <w:sz w:val="22"/>
                <w:szCs w:val="22"/>
                <w:vertAlign w:val="superscript"/>
              </w:rPr>
              <w:t>15</w:t>
            </w:r>
            <w:r w:rsidRPr="00E95DE6">
              <w:rPr>
                <w:bCs/>
                <w:sz w:val="22"/>
                <w:szCs w:val="22"/>
              </w:rPr>
              <w:t>/</w:t>
            </w:r>
            <w:r w:rsidRPr="00E95DE6">
              <w:rPr>
                <w:bCs/>
                <w:sz w:val="22"/>
                <w:szCs w:val="22"/>
                <w:vertAlign w:val="subscript"/>
              </w:rPr>
              <w:t>9</w:t>
            </w:r>
          </w:p>
        </w:tc>
        <w:tc>
          <w:tcPr>
            <w:tcW w:w="3002" w:type="dxa"/>
          </w:tcPr>
          <w:p w14:paraId="43BA4B25" w14:textId="77777777" w:rsidR="00E95DE6" w:rsidRPr="00E95DE6" w:rsidRDefault="00E95DE6" w:rsidP="00E95DE6">
            <w:pPr>
              <w:rPr>
                <w:bCs/>
                <w:sz w:val="22"/>
                <w:szCs w:val="22"/>
              </w:rPr>
            </w:pPr>
            <w:r w:rsidRPr="00E95DE6">
              <w:rPr>
                <w:bCs/>
                <w:sz w:val="22"/>
                <w:szCs w:val="22"/>
              </w:rPr>
              <w:t>343.80</w:t>
            </w:r>
          </w:p>
        </w:tc>
      </w:tr>
      <w:tr w:rsidR="00E95DE6" w:rsidRPr="00E95DE6" w14:paraId="2C679316" w14:textId="77777777" w:rsidTr="00B96564">
        <w:tc>
          <w:tcPr>
            <w:tcW w:w="3170" w:type="dxa"/>
          </w:tcPr>
          <w:p w14:paraId="5A0311D3" w14:textId="77777777" w:rsidR="00E95DE6" w:rsidRPr="00E95DE6" w:rsidRDefault="00E95DE6" w:rsidP="00E95DE6">
            <w:pPr>
              <w:rPr>
                <w:bCs/>
                <w:sz w:val="22"/>
                <w:szCs w:val="22"/>
              </w:rPr>
            </w:pPr>
            <w:r w:rsidRPr="00E95DE6">
              <w:rPr>
                <w:bCs/>
                <w:sz w:val="22"/>
                <w:szCs w:val="22"/>
              </w:rPr>
              <w:t>H</w:t>
            </w:r>
          </w:p>
        </w:tc>
        <w:tc>
          <w:tcPr>
            <w:tcW w:w="2191" w:type="dxa"/>
          </w:tcPr>
          <w:p w14:paraId="42CFA80A" w14:textId="77777777" w:rsidR="00E95DE6" w:rsidRPr="00E95DE6" w:rsidRDefault="00E95DE6" w:rsidP="00E95DE6">
            <w:pPr>
              <w:rPr>
                <w:bCs/>
                <w:sz w:val="22"/>
                <w:szCs w:val="22"/>
              </w:rPr>
            </w:pPr>
            <w:r w:rsidRPr="00E95DE6">
              <w:rPr>
                <w:bCs/>
                <w:sz w:val="22"/>
                <w:szCs w:val="22"/>
                <w:vertAlign w:val="superscript"/>
              </w:rPr>
              <w:t>18</w:t>
            </w:r>
            <w:r w:rsidRPr="00E95DE6">
              <w:rPr>
                <w:bCs/>
                <w:sz w:val="22"/>
                <w:szCs w:val="22"/>
              </w:rPr>
              <w:t>/</w:t>
            </w:r>
            <w:r w:rsidRPr="00E95DE6">
              <w:rPr>
                <w:bCs/>
                <w:sz w:val="22"/>
                <w:szCs w:val="22"/>
                <w:vertAlign w:val="subscript"/>
              </w:rPr>
              <w:t>9</w:t>
            </w:r>
          </w:p>
        </w:tc>
        <w:tc>
          <w:tcPr>
            <w:tcW w:w="3002" w:type="dxa"/>
          </w:tcPr>
          <w:p w14:paraId="336E600D" w14:textId="77777777" w:rsidR="00E95DE6" w:rsidRPr="00E95DE6" w:rsidRDefault="00E95DE6" w:rsidP="00E95DE6">
            <w:pPr>
              <w:rPr>
                <w:bCs/>
                <w:sz w:val="22"/>
                <w:szCs w:val="22"/>
              </w:rPr>
            </w:pPr>
            <w:r w:rsidRPr="00E95DE6">
              <w:rPr>
                <w:bCs/>
                <w:sz w:val="22"/>
                <w:szCs w:val="22"/>
              </w:rPr>
              <w:t>412.56</w:t>
            </w:r>
          </w:p>
        </w:tc>
      </w:tr>
    </w:tbl>
    <w:p w14:paraId="1C828DF5" w14:textId="77777777" w:rsidR="00E95DE6" w:rsidRPr="00E95DE6" w:rsidRDefault="00E95DE6" w:rsidP="00E95DE6">
      <w:pPr>
        <w:rPr>
          <w:bCs/>
          <w:sz w:val="22"/>
          <w:szCs w:val="22"/>
        </w:rPr>
      </w:pPr>
    </w:p>
    <w:p w14:paraId="07B08CAF" w14:textId="77777777" w:rsidR="00496D07" w:rsidRDefault="00496D07" w:rsidP="00BC24B8">
      <w:pPr>
        <w:rPr>
          <w:b/>
          <w:sz w:val="22"/>
          <w:szCs w:val="22"/>
        </w:rPr>
      </w:pPr>
    </w:p>
    <w:p w14:paraId="5A05560C" w14:textId="68CF9B1F" w:rsidR="00BC24B8" w:rsidRDefault="00BC24B8" w:rsidP="00BC24B8">
      <w:pPr>
        <w:rPr>
          <w:b/>
          <w:sz w:val="22"/>
          <w:szCs w:val="22"/>
        </w:rPr>
      </w:pPr>
      <w:r>
        <w:rPr>
          <w:b/>
          <w:sz w:val="22"/>
          <w:szCs w:val="22"/>
        </w:rPr>
        <w:t>43.</w:t>
      </w:r>
      <w:r>
        <w:rPr>
          <w:b/>
          <w:sz w:val="22"/>
          <w:szCs w:val="22"/>
        </w:rPr>
        <w:tab/>
        <w:t>MEDIUM TERM CAPITAL PLAN 2019/20 TO 2022/23</w:t>
      </w:r>
    </w:p>
    <w:p w14:paraId="7F7EF01D" w14:textId="77777777" w:rsidR="00BC24B8" w:rsidRDefault="00BC24B8" w:rsidP="00BC24B8">
      <w:pPr>
        <w:rPr>
          <w:b/>
          <w:sz w:val="22"/>
          <w:szCs w:val="22"/>
        </w:rPr>
      </w:pPr>
    </w:p>
    <w:p w14:paraId="43CE9267" w14:textId="77777777" w:rsidR="00BC24B8" w:rsidRDefault="00BC24B8" w:rsidP="00BC24B8">
      <w:pPr>
        <w:rPr>
          <w:b/>
          <w:sz w:val="22"/>
          <w:szCs w:val="22"/>
        </w:rPr>
      </w:pPr>
    </w:p>
    <w:p w14:paraId="11367BEC" w14:textId="008C205D" w:rsidR="00361394" w:rsidRDefault="00D05578" w:rsidP="00BC24B8">
      <w:pPr>
        <w:rPr>
          <w:sz w:val="22"/>
          <w:szCs w:val="22"/>
        </w:rPr>
      </w:pPr>
      <w:r>
        <w:rPr>
          <w:sz w:val="22"/>
          <w:szCs w:val="22"/>
        </w:rPr>
        <w:t xml:space="preserve">The purpose of this report </w:t>
      </w:r>
      <w:r w:rsidR="005B6D04">
        <w:rPr>
          <w:sz w:val="22"/>
          <w:szCs w:val="22"/>
        </w:rPr>
        <w:t>wa</w:t>
      </w:r>
      <w:r>
        <w:rPr>
          <w:sz w:val="22"/>
          <w:szCs w:val="22"/>
        </w:rPr>
        <w:t xml:space="preserve">s to present the Medium Term Capital Plan (MTCP) for the next </w:t>
      </w:r>
      <w:r w:rsidR="005B6D04">
        <w:rPr>
          <w:sz w:val="22"/>
          <w:szCs w:val="22"/>
        </w:rPr>
        <w:t>four</w:t>
      </w:r>
      <w:r>
        <w:rPr>
          <w:sz w:val="22"/>
          <w:szCs w:val="22"/>
        </w:rPr>
        <w:t xml:space="preserve"> years from 2019/20 to 2022/23 to the PCC for his formal approval of both the capital plan for the coming financial year and for the following three financial years for planning purposes. </w:t>
      </w:r>
    </w:p>
    <w:p w14:paraId="7A77C6F4" w14:textId="77777777" w:rsidR="00D05578" w:rsidRDefault="00D05578" w:rsidP="00BC24B8">
      <w:pPr>
        <w:rPr>
          <w:sz w:val="22"/>
          <w:szCs w:val="22"/>
        </w:rPr>
      </w:pPr>
    </w:p>
    <w:p w14:paraId="60186F08" w14:textId="3A7C0F90" w:rsidR="00D05578" w:rsidRDefault="00E62792" w:rsidP="00BC24B8">
      <w:pPr>
        <w:rPr>
          <w:sz w:val="22"/>
          <w:szCs w:val="22"/>
        </w:rPr>
      </w:pPr>
      <w:r>
        <w:rPr>
          <w:sz w:val="22"/>
          <w:szCs w:val="22"/>
        </w:rPr>
        <w:t>(</w:t>
      </w:r>
      <w:r w:rsidR="00D05578">
        <w:rPr>
          <w:sz w:val="22"/>
          <w:szCs w:val="22"/>
        </w:rPr>
        <w:t>LW</w:t>
      </w:r>
      <w:r>
        <w:rPr>
          <w:sz w:val="22"/>
          <w:szCs w:val="22"/>
        </w:rPr>
        <w:t>)</w:t>
      </w:r>
      <w:r w:rsidR="00D05578">
        <w:rPr>
          <w:sz w:val="22"/>
          <w:szCs w:val="22"/>
        </w:rPr>
        <w:t xml:space="preserve"> went through the capital programme summary and noted that the planned gross expenditure within the MTCP totalled £70.976m, which included £8.642m of project budget re-phased from 2018/19 reflecting the re-planning and tendering processes.  </w:t>
      </w:r>
    </w:p>
    <w:p w14:paraId="7FCB422E" w14:textId="77777777" w:rsidR="00D05578" w:rsidRDefault="00D05578" w:rsidP="00BC24B8">
      <w:pPr>
        <w:rPr>
          <w:sz w:val="22"/>
          <w:szCs w:val="22"/>
        </w:rPr>
      </w:pPr>
    </w:p>
    <w:p w14:paraId="54676E7B" w14:textId="29DEA418" w:rsidR="00633F73" w:rsidRDefault="00D05578" w:rsidP="00BC24B8">
      <w:pPr>
        <w:rPr>
          <w:sz w:val="22"/>
          <w:szCs w:val="22"/>
        </w:rPr>
      </w:pPr>
      <w:r>
        <w:rPr>
          <w:sz w:val="22"/>
          <w:szCs w:val="22"/>
        </w:rPr>
        <w:t>The Optimum Bias Reserve would only be drawn upon if needed, on a project by project basis.  However, some Optimum Bias (OB) funding may not be required if the projects complete</w:t>
      </w:r>
      <w:r w:rsidR="005B6D04">
        <w:rPr>
          <w:sz w:val="22"/>
          <w:szCs w:val="22"/>
        </w:rPr>
        <w:t>d</w:t>
      </w:r>
      <w:r>
        <w:rPr>
          <w:sz w:val="22"/>
          <w:szCs w:val="22"/>
        </w:rPr>
        <w:t xml:space="preserve"> within their original budget allocation.  The recent OB reserve reviewed based on the MTCP submitted at today’s meeting suggested a revised OB of £12.769m would be advisable.  At this time</w:t>
      </w:r>
      <w:r w:rsidR="005B6D04">
        <w:rPr>
          <w:sz w:val="22"/>
          <w:szCs w:val="22"/>
        </w:rPr>
        <w:t>,</w:t>
      </w:r>
      <w:r>
        <w:rPr>
          <w:sz w:val="22"/>
          <w:szCs w:val="22"/>
        </w:rPr>
        <w:t xml:space="preserve"> it was felt that the existing reserve of £9.129m would be sufficient and would be managed and reviewed as the projects progressed through the plan period.  </w:t>
      </w:r>
      <w:r w:rsidR="00E62792">
        <w:rPr>
          <w:sz w:val="22"/>
          <w:szCs w:val="22"/>
        </w:rPr>
        <w:t>(</w:t>
      </w:r>
      <w:r>
        <w:rPr>
          <w:sz w:val="22"/>
          <w:szCs w:val="22"/>
        </w:rPr>
        <w:t>LW</w:t>
      </w:r>
      <w:r w:rsidR="00E62792">
        <w:rPr>
          <w:sz w:val="22"/>
          <w:szCs w:val="22"/>
        </w:rPr>
        <w:t>)</w:t>
      </w:r>
      <w:r>
        <w:rPr>
          <w:sz w:val="22"/>
          <w:szCs w:val="22"/>
        </w:rPr>
        <w:t xml:space="preserve"> was very conscious that there would be additional investment schemes coming through later.  Any new future capital projects that had been approved</w:t>
      </w:r>
      <w:r w:rsidR="005B6D04">
        <w:rPr>
          <w:sz w:val="22"/>
          <w:szCs w:val="22"/>
        </w:rPr>
        <w:t>,</w:t>
      </w:r>
      <w:r>
        <w:rPr>
          <w:sz w:val="22"/>
          <w:szCs w:val="22"/>
        </w:rPr>
        <w:t xml:space="preserve"> would be included with a specific OB allocation assigned to the scheme cost, or separately within the capital programme.</w:t>
      </w:r>
      <w:r w:rsidR="005B6D04">
        <w:rPr>
          <w:sz w:val="22"/>
          <w:szCs w:val="22"/>
        </w:rPr>
        <w:t xml:space="preserve">  </w:t>
      </w:r>
      <w:r w:rsidR="00E62792">
        <w:rPr>
          <w:sz w:val="22"/>
          <w:szCs w:val="22"/>
        </w:rPr>
        <w:t>(</w:t>
      </w:r>
      <w:r w:rsidR="00633F73">
        <w:rPr>
          <w:sz w:val="22"/>
          <w:szCs w:val="22"/>
        </w:rPr>
        <w:t>LW</w:t>
      </w:r>
      <w:r w:rsidR="00E62792">
        <w:rPr>
          <w:sz w:val="22"/>
          <w:szCs w:val="22"/>
        </w:rPr>
        <w:t>)</w:t>
      </w:r>
      <w:r w:rsidR="00633F73">
        <w:rPr>
          <w:sz w:val="22"/>
          <w:szCs w:val="22"/>
        </w:rPr>
        <w:t xml:space="preserve"> was not recommending monies being moved into OB but would make recommendations to the PCC in two </w:t>
      </w:r>
      <w:r w:rsidR="005B6D04">
        <w:rPr>
          <w:sz w:val="22"/>
          <w:szCs w:val="22"/>
        </w:rPr>
        <w:t>years’ time</w:t>
      </w:r>
      <w:r w:rsidR="00633F73">
        <w:rPr>
          <w:sz w:val="22"/>
          <w:szCs w:val="22"/>
        </w:rPr>
        <w:t>.</w:t>
      </w:r>
    </w:p>
    <w:p w14:paraId="0B45EF97" w14:textId="77777777" w:rsidR="00633F73" w:rsidRDefault="00633F73" w:rsidP="00BC24B8">
      <w:pPr>
        <w:rPr>
          <w:sz w:val="22"/>
          <w:szCs w:val="22"/>
        </w:rPr>
      </w:pPr>
    </w:p>
    <w:p w14:paraId="026CCC84" w14:textId="68D16810" w:rsidR="00633F73" w:rsidRDefault="00633F73" w:rsidP="00BC24B8">
      <w:pPr>
        <w:rPr>
          <w:sz w:val="22"/>
          <w:szCs w:val="22"/>
        </w:rPr>
      </w:pPr>
      <w:r>
        <w:rPr>
          <w:sz w:val="22"/>
          <w:szCs w:val="22"/>
        </w:rPr>
        <w:t xml:space="preserve">The ICT 5 year Strategy Roadmap and Digital Policing plans that were made and approved last year were continuing to progress to modernise the legacy infrastructure and to create a solid technology platform from which forces could continue to transform working practices.  This year a number of bids from across the Force affecting ICT were being prioritised as essential by both </w:t>
      </w:r>
      <w:r w:rsidR="005B6D04">
        <w:rPr>
          <w:sz w:val="22"/>
          <w:szCs w:val="22"/>
        </w:rPr>
        <w:t>(</w:t>
      </w:r>
      <w:r>
        <w:rPr>
          <w:sz w:val="22"/>
          <w:szCs w:val="22"/>
        </w:rPr>
        <w:t>CCMT</w:t>
      </w:r>
      <w:r w:rsidR="005B6D04">
        <w:rPr>
          <w:sz w:val="22"/>
          <w:szCs w:val="22"/>
        </w:rPr>
        <w:t>)</w:t>
      </w:r>
      <w:r>
        <w:rPr>
          <w:sz w:val="22"/>
          <w:szCs w:val="22"/>
        </w:rPr>
        <w:t xml:space="preserve"> and partner forces.  Some of these were completely new and some were supporting existing programmes and areas of work.  These bids totalled £3.779m.  In addition </w:t>
      </w:r>
      <w:r w:rsidR="005B6D04">
        <w:rPr>
          <w:sz w:val="22"/>
          <w:szCs w:val="22"/>
        </w:rPr>
        <w:t>(</w:t>
      </w:r>
      <w:r>
        <w:rPr>
          <w:sz w:val="22"/>
          <w:szCs w:val="22"/>
        </w:rPr>
        <w:t>CCMT</w:t>
      </w:r>
      <w:r w:rsidR="005B6D04">
        <w:rPr>
          <w:sz w:val="22"/>
          <w:szCs w:val="22"/>
        </w:rPr>
        <w:t>)</w:t>
      </w:r>
      <w:r>
        <w:rPr>
          <w:sz w:val="22"/>
          <w:szCs w:val="22"/>
        </w:rPr>
        <w:t xml:space="preserve"> prioritised a further £2.130m of potential TVP specific projects that would either improve volume or complex crime investigations or were development opportunities.  In total, there were £5.909m of new bids within the programme.</w:t>
      </w:r>
    </w:p>
    <w:p w14:paraId="7B484B30" w14:textId="77777777" w:rsidR="00633F73" w:rsidRDefault="00633F73" w:rsidP="00BC24B8">
      <w:pPr>
        <w:rPr>
          <w:sz w:val="22"/>
          <w:szCs w:val="22"/>
        </w:rPr>
      </w:pPr>
    </w:p>
    <w:p w14:paraId="3AD30A8F" w14:textId="6897FD20" w:rsidR="00FE7C33" w:rsidRDefault="00FE7C33" w:rsidP="00BC24B8">
      <w:pPr>
        <w:rPr>
          <w:sz w:val="22"/>
          <w:szCs w:val="22"/>
        </w:rPr>
      </w:pPr>
      <w:r>
        <w:rPr>
          <w:sz w:val="22"/>
          <w:szCs w:val="22"/>
        </w:rPr>
        <w:t>The PCC referred back to page 237 for the replacement of Reading Police S</w:t>
      </w:r>
      <w:r w:rsidR="00465B22">
        <w:rPr>
          <w:sz w:val="22"/>
          <w:szCs w:val="22"/>
        </w:rPr>
        <w:t>t</w:t>
      </w:r>
      <w:r>
        <w:rPr>
          <w:sz w:val="22"/>
          <w:szCs w:val="22"/>
        </w:rPr>
        <w:t>ation</w:t>
      </w:r>
      <w:r w:rsidR="00465B22">
        <w:rPr>
          <w:sz w:val="22"/>
          <w:szCs w:val="22"/>
        </w:rPr>
        <w:t xml:space="preserve"> as this still remained an important part of the estate programme.  The PCC noted that there were too many unknowns over the next few years for Reading Police Station and would be difficult to comment.</w:t>
      </w:r>
    </w:p>
    <w:p w14:paraId="187FADE0" w14:textId="77777777" w:rsidR="00465B22" w:rsidRPr="00D05578" w:rsidRDefault="00465B22" w:rsidP="00BC24B8">
      <w:pPr>
        <w:rPr>
          <w:sz w:val="22"/>
          <w:szCs w:val="22"/>
        </w:rPr>
      </w:pPr>
    </w:p>
    <w:p w14:paraId="35B4414C" w14:textId="442DDE9F" w:rsidR="00B96564" w:rsidRPr="00AA5289" w:rsidRDefault="00B96564" w:rsidP="00B96564">
      <w:pPr>
        <w:rPr>
          <w:sz w:val="22"/>
          <w:szCs w:val="22"/>
        </w:rPr>
      </w:pPr>
      <w:r w:rsidRPr="00AA5289">
        <w:rPr>
          <w:sz w:val="22"/>
          <w:szCs w:val="22"/>
        </w:rPr>
        <w:t xml:space="preserve">The PCC: </w:t>
      </w:r>
    </w:p>
    <w:p w14:paraId="5F39BF53" w14:textId="77777777" w:rsidR="00B96564" w:rsidRPr="00B96564" w:rsidRDefault="00B96564" w:rsidP="00B96564">
      <w:pPr>
        <w:rPr>
          <w:b/>
          <w:sz w:val="22"/>
          <w:szCs w:val="22"/>
        </w:rPr>
      </w:pPr>
    </w:p>
    <w:p w14:paraId="456DAE44" w14:textId="2EC259F9" w:rsidR="00B96564" w:rsidRPr="00AA5289" w:rsidRDefault="00B96564" w:rsidP="00B96564">
      <w:pPr>
        <w:numPr>
          <w:ilvl w:val="0"/>
          <w:numId w:val="19"/>
        </w:numPr>
        <w:rPr>
          <w:sz w:val="22"/>
          <w:szCs w:val="22"/>
        </w:rPr>
      </w:pPr>
      <w:r w:rsidRPr="00AA5289">
        <w:rPr>
          <w:b/>
          <w:sz w:val="22"/>
          <w:szCs w:val="22"/>
        </w:rPr>
        <w:t>Approved</w:t>
      </w:r>
      <w:r w:rsidRPr="00AA5289">
        <w:rPr>
          <w:sz w:val="22"/>
          <w:szCs w:val="22"/>
        </w:rPr>
        <w:t xml:space="preserve"> the draft capital programme for 2019/20 in the sum of £26.978m as set out in Table 1, which includes £8.642m of re-phased budget from 2018/19. </w:t>
      </w:r>
    </w:p>
    <w:p w14:paraId="1BC33BC0" w14:textId="604AC787" w:rsidR="00B96564" w:rsidRPr="00AA5289" w:rsidRDefault="00B96564" w:rsidP="00B96564">
      <w:pPr>
        <w:numPr>
          <w:ilvl w:val="0"/>
          <w:numId w:val="19"/>
        </w:numPr>
        <w:rPr>
          <w:sz w:val="22"/>
          <w:szCs w:val="22"/>
        </w:rPr>
      </w:pPr>
      <w:r w:rsidRPr="00AA5289">
        <w:rPr>
          <w:b/>
          <w:sz w:val="22"/>
          <w:szCs w:val="22"/>
        </w:rPr>
        <w:t>Approved</w:t>
      </w:r>
      <w:r>
        <w:rPr>
          <w:sz w:val="22"/>
          <w:szCs w:val="22"/>
        </w:rPr>
        <w:t xml:space="preserve"> </w:t>
      </w:r>
      <w:r w:rsidRPr="00AA5289">
        <w:rPr>
          <w:sz w:val="22"/>
          <w:szCs w:val="22"/>
        </w:rPr>
        <w:t xml:space="preserve">an increase in borrowing from £5m to £10m for the Reading Police Station replacement project. </w:t>
      </w:r>
    </w:p>
    <w:p w14:paraId="2BD7EE72" w14:textId="498DCEFE" w:rsidR="00B96564" w:rsidRPr="00AA5289" w:rsidRDefault="00B96564" w:rsidP="00B96564">
      <w:pPr>
        <w:numPr>
          <w:ilvl w:val="0"/>
          <w:numId w:val="19"/>
        </w:numPr>
        <w:rPr>
          <w:sz w:val="22"/>
          <w:szCs w:val="22"/>
        </w:rPr>
      </w:pPr>
      <w:r w:rsidRPr="00AA5289">
        <w:rPr>
          <w:b/>
          <w:sz w:val="22"/>
          <w:szCs w:val="22"/>
        </w:rPr>
        <w:t>Approved</w:t>
      </w:r>
      <w:r w:rsidRPr="00AA5289">
        <w:rPr>
          <w:sz w:val="22"/>
          <w:szCs w:val="22"/>
        </w:rPr>
        <w:t xml:space="preserve"> the overall financing of the capital expenditure as set out in schedule 7 of Appendix 1.</w:t>
      </w:r>
    </w:p>
    <w:p w14:paraId="15E36003" w14:textId="2FD57D68" w:rsidR="00B96564" w:rsidRPr="00AA5289" w:rsidRDefault="00B96564" w:rsidP="00B96564">
      <w:pPr>
        <w:numPr>
          <w:ilvl w:val="0"/>
          <w:numId w:val="19"/>
        </w:numPr>
        <w:rPr>
          <w:sz w:val="22"/>
          <w:szCs w:val="22"/>
        </w:rPr>
      </w:pPr>
      <w:r w:rsidRPr="00AA5289">
        <w:rPr>
          <w:b/>
          <w:sz w:val="22"/>
          <w:szCs w:val="22"/>
        </w:rPr>
        <w:t xml:space="preserve">Approved </w:t>
      </w:r>
      <w:r w:rsidRPr="00AA5289">
        <w:rPr>
          <w:sz w:val="22"/>
          <w:szCs w:val="22"/>
        </w:rPr>
        <w:t>the overall 4 year Medium Term Capital Plan (2019/20 to 2022/23) for planning purposes at £70.976m (including re-phasing) as set out in Table 1.</w:t>
      </w:r>
    </w:p>
    <w:p w14:paraId="4EE70956" w14:textId="2C38BFD2" w:rsidR="00B96564" w:rsidRPr="00AA5289" w:rsidRDefault="00B96564" w:rsidP="00B96564">
      <w:pPr>
        <w:numPr>
          <w:ilvl w:val="0"/>
          <w:numId w:val="19"/>
        </w:numPr>
        <w:rPr>
          <w:sz w:val="22"/>
          <w:szCs w:val="22"/>
        </w:rPr>
      </w:pPr>
      <w:r w:rsidRPr="00AA5289">
        <w:rPr>
          <w:b/>
          <w:sz w:val="22"/>
          <w:szCs w:val="22"/>
        </w:rPr>
        <w:t>Recognised</w:t>
      </w:r>
      <w:r w:rsidRPr="00AA5289">
        <w:rPr>
          <w:sz w:val="22"/>
          <w:szCs w:val="22"/>
        </w:rPr>
        <w:t xml:space="preserve"> the restated Optimism Bias Reserve calculation of £12.769m and acknowledge that the existing reserve of £9.129m will be managed and reviewed as the Force progresses through the plan term.   </w:t>
      </w:r>
    </w:p>
    <w:p w14:paraId="723CC6CD" w14:textId="77777777" w:rsidR="00361394" w:rsidRDefault="00361394" w:rsidP="00BC24B8">
      <w:pPr>
        <w:rPr>
          <w:b/>
          <w:sz w:val="22"/>
          <w:szCs w:val="22"/>
        </w:rPr>
      </w:pPr>
    </w:p>
    <w:p w14:paraId="6E4DF1AE" w14:textId="3595CF40" w:rsidR="00496D07" w:rsidRDefault="00496D07">
      <w:pPr>
        <w:overflowPunct/>
        <w:autoSpaceDE/>
        <w:autoSpaceDN/>
        <w:adjustRightInd/>
        <w:spacing w:after="160" w:line="259" w:lineRule="auto"/>
        <w:jc w:val="left"/>
        <w:rPr>
          <w:b/>
          <w:sz w:val="22"/>
          <w:szCs w:val="22"/>
        </w:rPr>
      </w:pPr>
    </w:p>
    <w:p w14:paraId="556FCE2A" w14:textId="3CFDC3D1" w:rsidR="00BC24B8" w:rsidRDefault="00BC24B8" w:rsidP="00BC24B8">
      <w:pPr>
        <w:rPr>
          <w:b/>
          <w:sz w:val="22"/>
          <w:szCs w:val="22"/>
        </w:rPr>
      </w:pPr>
      <w:r>
        <w:rPr>
          <w:b/>
          <w:sz w:val="22"/>
          <w:szCs w:val="22"/>
        </w:rPr>
        <w:t>44.</w:t>
      </w:r>
      <w:r>
        <w:rPr>
          <w:b/>
          <w:sz w:val="22"/>
          <w:szCs w:val="22"/>
        </w:rPr>
        <w:tab/>
        <w:t>TREASURY MANAGEMENT STRATEGY 2019/20</w:t>
      </w:r>
    </w:p>
    <w:p w14:paraId="38F90EE9" w14:textId="77777777" w:rsidR="00BC24B8" w:rsidRDefault="00BC24B8" w:rsidP="00BC24B8">
      <w:pPr>
        <w:rPr>
          <w:b/>
          <w:sz w:val="22"/>
          <w:szCs w:val="22"/>
        </w:rPr>
      </w:pPr>
    </w:p>
    <w:p w14:paraId="29D6B355" w14:textId="4ECFB5F4" w:rsidR="00465B22" w:rsidRDefault="00690B4E" w:rsidP="00BC24B8">
      <w:pPr>
        <w:rPr>
          <w:sz w:val="22"/>
          <w:szCs w:val="22"/>
        </w:rPr>
      </w:pPr>
      <w:r>
        <w:rPr>
          <w:sz w:val="22"/>
          <w:szCs w:val="22"/>
        </w:rPr>
        <w:t xml:space="preserve">The draft report was considered and endorsed by the Joint Independent Audit Committee at the meeting on 7 December 2018.  The </w:t>
      </w:r>
      <w:r w:rsidR="0087666A">
        <w:rPr>
          <w:sz w:val="22"/>
          <w:szCs w:val="22"/>
        </w:rPr>
        <w:t xml:space="preserve">Treasury Management </w:t>
      </w:r>
      <w:r>
        <w:rPr>
          <w:sz w:val="22"/>
          <w:szCs w:val="22"/>
        </w:rPr>
        <w:t xml:space="preserve">Strategy Statement </w:t>
      </w:r>
      <w:r w:rsidR="0087666A">
        <w:rPr>
          <w:sz w:val="22"/>
          <w:szCs w:val="22"/>
        </w:rPr>
        <w:t xml:space="preserve">(TMSS) </w:t>
      </w:r>
      <w:r>
        <w:rPr>
          <w:sz w:val="22"/>
          <w:szCs w:val="22"/>
        </w:rPr>
        <w:t xml:space="preserve">included the proposed borrowing and investment strategies and set out the prudential indicators and treasury management activity limits for the period 2019/20 to 2022/23 that provide the OPCC treasury service with an operational performance and control framework within which the relevant functions </w:t>
      </w:r>
      <w:r w:rsidR="005B6D04">
        <w:rPr>
          <w:sz w:val="22"/>
          <w:szCs w:val="22"/>
        </w:rPr>
        <w:t>we</w:t>
      </w:r>
      <w:r>
        <w:rPr>
          <w:sz w:val="22"/>
          <w:szCs w:val="22"/>
        </w:rPr>
        <w:t>re undertaken.</w:t>
      </w:r>
    </w:p>
    <w:p w14:paraId="207D2959" w14:textId="77777777" w:rsidR="00690B4E" w:rsidRDefault="00690B4E" w:rsidP="00BC24B8">
      <w:pPr>
        <w:rPr>
          <w:sz w:val="22"/>
          <w:szCs w:val="22"/>
        </w:rPr>
      </w:pPr>
    </w:p>
    <w:p w14:paraId="5386B597" w14:textId="05372916" w:rsidR="00690B4E" w:rsidRDefault="00E62792" w:rsidP="00BC24B8">
      <w:pPr>
        <w:rPr>
          <w:sz w:val="22"/>
          <w:szCs w:val="22"/>
        </w:rPr>
      </w:pPr>
      <w:r>
        <w:rPr>
          <w:sz w:val="22"/>
          <w:szCs w:val="22"/>
        </w:rPr>
        <w:t>(</w:t>
      </w:r>
      <w:r w:rsidR="0087666A">
        <w:rPr>
          <w:sz w:val="22"/>
          <w:szCs w:val="22"/>
        </w:rPr>
        <w:t>IT</w:t>
      </w:r>
      <w:r>
        <w:rPr>
          <w:sz w:val="22"/>
          <w:szCs w:val="22"/>
        </w:rPr>
        <w:t>)</w:t>
      </w:r>
      <w:r w:rsidR="0087666A">
        <w:rPr>
          <w:sz w:val="22"/>
          <w:szCs w:val="22"/>
        </w:rPr>
        <w:t xml:space="preserve"> introduced the </w:t>
      </w:r>
      <w:r w:rsidR="005B6D04">
        <w:rPr>
          <w:sz w:val="22"/>
          <w:szCs w:val="22"/>
        </w:rPr>
        <w:t>(</w:t>
      </w:r>
      <w:r w:rsidR="0087666A">
        <w:rPr>
          <w:sz w:val="22"/>
          <w:szCs w:val="22"/>
        </w:rPr>
        <w:t>TMSS</w:t>
      </w:r>
      <w:r w:rsidR="005B6D04">
        <w:rPr>
          <w:sz w:val="22"/>
          <w:szCs w:val="22"/>
        </w:rPr>
        <w:t>)</w:t>
      </w:r>
      <w:r w:rsidR="0087666A">
        <w:rPr>
          <w:sz w:val="22"/>
          <w:szCs w:val="22"/>
        </w:rPr>
        <w:t xml:space="preserve"> and the reporting requirements of providing a high-level long-term overview of how capital expenditure, capital financing and treasury management activity contributed to the provision of services as well as an overview of how the associated risks were managed and the implications for future financial sustainability.</w:t>
      </w:r>
    </w:p>
    <w:p w14:paraId="685BA3AA" w14:textId="77777777" w:rsidR="0087666A" w:rsidRDefault="0087666A" w:rsidP="00BC24B8">
      <w:pPr>
        <w:rPr>
          <w:sz w:val="22"/>
          <w:szCs w:val="22"/>
        </w:rPr>
      </w:pPr>
    </w:p>
    <w:p w14:paraId="6151EBB6" w14:textId="38874F5F" w:rsidR="0087666A" w:rsidRDefault="0087666A" w:rsidP="00BC24B8">
      <w:pPr>
        <w:rPr>
          <w:sz w:val="22"/>
          <w:szCs w:val="22"/>
        </w:rPr>
      </w:pPr>
      <w:r>
        <w:rPr>
          <w:sz w:val="22"/>
          <w:szCs w:val="22"/>
        </w:rPr>
        <w:t>The PCC was required to receive and approve (as a minimum), three main reports each year which incorporated a variety of policies, estimates and actuals.</w:t>
      </w:r>
    </w:p>
    <w:p w14:paraId="29262C89" w14:textId="77777777" w:rsidR="0087666A" w:rsidRDefault="0087666A" w:rsidP="00BC24B8">
      <w:pPr>
        <w:rPr>
          <w:sz w:val="22"/>
          <w:szCs w:val="22"/>
        </w:rPr>
      </w:pPr>
    </w:p>
    <w:p w14:paraId="39FCD3EB" w14:textId="5C727B95" w:rsidR="0087666A" w:rsidRDefault="0087666A" w:rsidP="00BC24B8">
      <w:pPr>
        <w:rPr>
          <w:sz w:val="22"/>
          <w:szCs w:val="22"/>
        </w:rPr>
      </w:pPr>
      <w:r>
        <w:rPr>
          <w:sz w:val="22"/>
          <w:szCs w:val="22"/>
        </w:rPr>
        <w:t>The Treasury Management Consultants used by the OPCC were Link Asset Services although, the PCC recognised that responsibility for treasury management decisions remained with the organisation at all times and would ensure that undue reliance was not placed upon the external service providers.</w:t>
      </w:r>
    </w:p>
    <w:p w14:paraId="2EFBFBEA" w14:textId="77777777" w:rsidR="0087666A" w:rsidRDefault="0087666A" w:rsidP="00BC24B8">
      <w:pPr>
        <w:rPr>
          <w:sz w:val="22"/>
          <w:szCs w:val="22"/>
        </w:rPr>
      </w:pPr>
    </w:p>
    <w:p w14:paraId="13FC125B" w14:textId="36D414ED" w:rsidR="0087666A" w:rsidRDefault="0087666A" w:rsidP="00BC24B8">
      <w:pPr>
        <w:rPr>
          <w:sz w:val="22"/>
          <w:szCs w:val="22"/>
        </w:rPr>
      </w:pPr>
      <w:r>
        <w:rPr>
          <w:sz w:val="22"/>
          <w:szCs w:val="22"/>
        </w:rPr>
        <w:t xml:space="preserve">The PCC’s capital expenditure plans were the key driver of treasury management activity.  The output from the capital expenditure plans were reflected in prudential indicators.   The second prudential indicator was the PCC’s Capital Financing Requirement (CFR).  The CFR was the total historic outstanding capital expenditure which had not yet been paid for from </w:t>
      </w:r>
      <w:r w:rsidR="007C42ED">
        <w:rPr>
          <w:sz w:val="22"/>
          <w:szCs w:val="22"/>
        </w:rPr>
        <w:t>both revenue or capital resources and</w:t>
      </w:r>
      <w:r>
        <w:rPr>
          <w:sz w:val="22"/>
          <w:szCs w:val="22"/>
        </w:rPr>
        <w:t xml:space="preserve"> essentially a measure of the PCC’s underlying borrowing need.  </w:t>
      </w:r>
      <w:r w:rsidR="00E62792">
        <w:rPr>
          <w:sz w:val="22"/>
          <w:szCs w:val="22"/>
        </w:rPr>
        <w:t>(</w:t>
      </w:r>
      <w:r>
        <w:rPr>
          <w:sz w:val="22"/>
          <w:szCs w:val="22"/>
        </w:rPr>
        <w:t>IT</w:t>
      </w:r>
      <w:r w:rsidR="00E62792">
        <w:rPr>
          <w:sz w:val="22"/>
          <w:szCs w:val="22"/>
        </w:rPr>
        <w:t>)</w:t>
      </w:r>
      <w:r>
        <w:rPr>
          <w:sz w:val="22"/>
          <w:szCs w:val="22"/>
        </w:rPr>
        <w:t xml:space="preserve"> noted that at Table 2 on page 263 there was a type in the </w:t>
      </w:r>
      <w:r w:rsidR="005B6D04">
        <w:rPr>
          <w:sz w:val="22"/>
          <w:szCs w:val="22"/>
        </w:rPr>
        <w:t>‘M</w:t>
      </w:r>
      <w:r>
        <w:rPr>
          <w:sz w:val="22"/>
          <w:szCs w:val="22"/>
        </w:rPr>
        <w:t>ovement in CFR for 2020/21 estimate</w:t>
      </w:r>
      <w:r w:rsidR="005B6D04">
        <w:rPr>
          <w:sz w:val="22"/>
          <w:szCs w:val="22"/>
        </w:rPr>
        <w:t>’</w:t>
      </w:r>
      <w:r>
        <w:rPr>
          <w:sz w:val="22"/>
          <w:szCs w:val="22"/>
        </w:rPr>
        <w:t xml:space="preserve"> where this figure should</w:t>
      </w:r>
      <w:r w:rsidR="005B6D04">
        <w:rPr>
          <w:sz w:val="22"/>
          <w:szCs w:val="22"/>
        </w:rPr>
        <w:t xml:space="preserve"> have</w:t>
      </w:r>
      <w:r>
        <w:rPr>
          <w:sz w:val="22"/>
          <w:szCs w:val="22"/>
        </w:rPr>
        <w:t xml:space="preserve"> read 8.805 rather than 3.805</w:t>
      </w:r>
      <w:r w:rsidR="007C42ED">
        <w:rPr>
          <w:sz w:val="22"/>
          <w:szCs w:val="22"/>
        </w:rPr>
        <w:t>.</w:t>
      </w:r>
    </w:p>
    <w:p w14:paraId="42F456AD" w14:textId="77777777" w:rsidR="007C42ED" w:rsidRDefault="007C42ED" w:rsidP="00BC24B8">
      <w:pPr>
        <w:rPr>
          <w:sz w:val="22"/>
          <w:szCs w:val="22"/>
        </w:rPr>
      </w:pPr>
    </w:p>
    <w:p w14:paraId="5A3E56DD" w14:textId="4F083FE3" w:rsidR="007C42ED" w:rsidRDefault="007C42ED" w:rsidP="00BC24B8">
      <w:pPr>
        <w:rPr>
          <w:sz w:val="22"/>
          <w:szCs w:val="22"/>
        </w:rPr>
      </w:pPr>
      <w:r>
        <w:rPr>
          <w:sz w:val="22"/>
          <w:szCs w:val="22"/>
        </w:rPr>
        <w:t>The capital expenditure plans provided details of the service activities of the PCC.  The treasury management function ensures that the PCC’s cash is organised in accordance with the relevant professional codes so that sufficient cash is available to meet this service activity.  The PCC’s borrowing portfolio position as at 31 March 2018 with forward projections was set out in Table 5 on page 265 which showed the actual external debt against the underlying capital borrowing need which highlighted any over or under borrowing.</w:t>
      </w:r>
    </w:p>
    <w:p w14:paraId="7BCA401F" w14:textId="77777777" w:rsidR="007C42ED" w:rsidRDefault="007C42ED" w:rsidP="00BC24B8">
      <w:pPr>
        <w:rPr>
          <w:sz w:val="22"/>
          <w:szCs w:val="22"/>
        </w:rPr>
      </w:pPr>
    </w:p>
    <w:p w14:paraId="680395BD" w14:textId="77777777" w:rsidR="00496D07" w:rsidRDefault="00496D07" w:rsidP="00BC24B8">
      <w:pPr>
        <w:rPr>
          <w:b/>
          <w:sz w:val="22"/>
          <w:szCs w:val="22"/>
        </w:rPr>
      </w:pPr>
    </w:p>
    <w:p w14:paraId="3DDD3C32" w14:textId="75ED9B6B" w:rsidR="00D2210C" w:rsidRDefault="00D2210C" w:rsidP="00BC24B8">
      <w:pPr>
        <w:rPr>
          <w:sz w:val="22"/>
          <w:szCs w:val="22"/>
        </w:rPr>
      </w:pPr>
      <w:r>
        <w:rPr>
          <w:sz w:val="22"/>
          <w:szCs w:val="22"/>
        </w:rPr>
        <w:t xml:space="preserve">Table 9 </w:t>
      </w:r>
      <w:r w:rsidR="00B96564">
        <w:rPr>
          <w:sz w:val="22"/>
          <w:szCs w:val="22"/>
        </w:rPr>
        <w:t>o</w:t>
      </w:r>
      <w:r>
        <w:rPr>
          <w:sz w:val="22"/>
          <w:szCs w:val="22"/>
        </w:rPr>
        <w:t xml:space="preserve">n page 271 </w:t>
      </w:r>
      <w:r w:rsidR="00B96564">
        <w:rPr>
          <w:sz w:val="22"/>
          <w:szCs w:val="22"/>
        </w:rPr>
        <w:t xml:space="preserve">set out </w:t>
      </w:r>
      <w:r>
        <w:rPr>
          <w:sz w:val="22"/>
          <w:szCs w:val="22"/>
        </w:rPr>
        <w:t>of the treasury indicators and limits.</w:t>
      </w:r>
    </w:p>
    <w:p w14:paraId="40272EA9" w14:textId="77777777" w:rsidR="00D2210C" w:rsidRDefault="00D2210C" w:rsidP="00BC24B8">
      <w:pPr>
        <w:rPr>
          <w:sz w:val="22"/>
          <w:szCs w:val="22"/>
        </w:rPr>
      </w:pPr>
    </w:p>
    <w:p w14:paraId="409D6EF5" w14:textId="79938CCB" w:rsidR="00D2210C" w:rsidRDefault="00D2210C" w:rsidP="00BC24B8">
      <w:pPr>
        <w:rPr>
          <w:sz w:val="22"/>
          <w:szCs w:val="22"/>
        </w:rPr>
      </w:pPr>
      <w:r>
        <w:rPr>
          <w:sz w:val="22"/>
          <w:szCs w:val="22"/>
        </w:rPr>
        <w:t xml:space="preserve">The PCC would not borrow more than or in advance of its needs purely in order to profit from the investment of the extra sums borrowed.  Any decision to borrow in advance would be within approved Capital Financing Requirement estimated would be considered carefully to ensure value for money could be demonstrated and that the PCC could ensure the security of such funds. </w:t>
      </w:r>
    </w:p>
    <w:p w14:paraId="12379674" w14:textId="77777777" w:rsidR="00D2210C" w:rsidRDefault="00D2210C" w:rsidP="00BC24B8">
      <w:pPr>
        <w:rPr>
          <w:sz w:val="22"/>
          <w:szCs w:val="22"/>
        </w:rPr>
      </w:pPr>
    </w:p>
    <w:p w14:paraId="2C8D51D7" w14:textId="218BBB75" w:rsidR="00D2210C" w:rsidRDefault="00D2210C" w:rsidP="00BC24B8">
      <w:pPr>
        <w:rPr>
          <w:sz w:val="22"/>
          <w:szCs w:val="22"/>
        </w:rPr>
      </w:pPr>
      <w:r>
        <w:rPr>
          <w:sz w:val="22"/>
          <w:szCs w:val="22"/>
        </w:rPr>
        <w:t>As to Country limits, the PCC determined that it would only use approved counterparties from countries with a minimum sovereign credit rating of AA- from Fitch (or equivalent).  This list of countries that qualified were set out at Appendix 5.3 (page 281) at the back of this report.</w:t>
      </w:r>
    </w:p>
    <w:p w14:paraId="1C20633C" w14:textId="77777777" w:rsidR="00D2210C" w:rsidRPr="00D2210C" w:rsidRDefault="00D2210C" w:rsidP="00BC24B8">
      <w:pPr>
        <w:rPr>
          <w:sz w:val="22"/>
          <w:szCs w:val="22"/>
        </w:rPr>
      </w:pPr>
    </w:p>
    <w:p w14:paraId="65614D29" w14:textId="77777777" w:rsidR="00610F89" w:rsidRDefault="00610F89" w:rsidP="00BC24B8">
      <w:pPr>
        <w:rPr>
          <w:b/>
          <w:sz w:val="22"/>
          <w:szCs w:val="22"/>
        </w:rPr>
      </w:pPr>
    </w:p>
    <w:p w14:paraId="6C945451" w14:textId="4FC7BF2B" w:rsidR="00496D07" w:rsidRPr="00496D07" w:rsidRDefault="00496D07" w:rsidP="00BC24B8">
      <w:pPr>
        <w:rPr>
          <w:sz w:val="22"/>
          <w:szCs w:val="22"/>
        </w:rPr>
      </w:pPr>
      <w:r>
        <w:rPr>
          <w:sz w:val="22"/>
          <w:szCs w:val="22"/>
        </w:rPr>
        <w:t xml:space="preserve">The PCC </w:t>
      </w:r>
      <w:r w:rsidRPr="00361394">
        <w:rPr>
          <w:b/>
          <w:sz w:val="22"/>
          <w:szCs w:val="22"/>
        </w:rPr>
        <w:t>CONSIDERED</w:t>
      </w:r>
      <w:r>
        <w:rPr>
          <w:sz w:val="22"/>
          <w:szCs w:val="22"/>
        </w:rPr>
        <w:t xml:space="preserve"> and </w:t>
      </w:r>
      <w:r w:rsidRPr="00361394">
        <w:rPr>
          <w:b/>
          <w:sz w:val="22"/>
          <w:szCs w:val="22"/>
        </w:rPr>
        <w:t>APPROVED</w:t>
      </w:r>
      <w:r>
        <w:rPr>
          <w:sz w:val="22"/>
          <w:szCs w:val="22"/>
        </w:rPr>
        <w:t xml:space="preserve"> the recommendations set out in the Treasury Management Strategy Statement for 2019/20 incorporating the Minimum Revenue Provision Policy Statement and the Annual Investment Strategy. </w:t>
      </w:r>
    </w:p>
    <w:p w14:paraId="45BDC6A1" w14:textId="77777777" w:rsidR="00BC24B8" w:rsidRDefault="00BC24B8" w:rsidP="00BC24B8">
      <w:pPr>
        <w:rPr>
          <w:b/>
          <w:sz w:val="22"/>
          <w:szCs w:val="22"/>
        </w:rPr>
      </w:pPr>
    </w:p>
    <w:p w14:paraId="6079E33C" w14:textId="77777777" w:rsidR="004B138B" w:rsidRDefault="004B138B" w:rsidP="00BC24B8">
      <w:pPr>
        <w:rPr>
          <w:b/>
          <w:sz w:val="22"/>
          <w:szCs w:val="22"/>
        </w:rPr>
      </w:pPr>
    </w:p>
    <w:p w14:paraId="60DA1CBF" w14:textId="77777777" w:rsidR="00610F89" w:rsidRDefault="00610F89" w:rsidP="00BC24B8">
      <w:pPr>
        <w:rPr>
          <w:b/>
          <w:sz w:val="22"/>
          <w:szCs w:val="22"/>
        </w:rPr>
      </w:pPr>
    </w:p>
    <w:p w14:paraId="09D30736" w14:textId="558DAEC4" w:rsidR="00BC24B8" w:rsidRDefault="00BC24B8" w:rsidP="00BC24B8">
      <w:pPr>
        <w:rPr>
          <w:b/>
          <w:sz w:val="22"/>
          <w:szCs w:val="22"/>
        </w:rPr>
      </w:pPr>
      <w:r>
        <w:rPr>
          <w:b/>
          <w:sz w:val="22"/>
          <w:szCs w:val="22"/>
        </w:rPr>
        <w:t>45.</w:t>
      </w:r>
      <w:r>
        <w:rPr>
          <w:b/>
          <w:sz w:val="22"/>
          <w:szCs w:val="22"/>
        </w:rPr>
        <w:tab/>
        <w:t>RESERVES AND BALAN</w:t>
      </w:r>
      <w:r w:rsidR="00AB1C9E">
        <w:rPr>
          <w:b/>
          <w:sz w:val="22"/>
          <w:szCs w:val="22"/>
        </w:rPr>
        <w:t>C</w:t>
      </w:r>
      <w:r>
        <w:rPr>
          <w:b/>
          <w:sz w:val="22"/>
          <w:szCs w:val="22"/>
        </w:rPr>
        <w:t>ES</w:t>
      </w:r>
    </w:p>
    <w:p w14:paraId="7FC85A49" w14:textId="77777777" w:rsidR="00BC24B8" w:rsidRDefault="00BC24B8" w:rsidP="00BC24B8">
      <w:pPr>
        <w:rPr>
          <w:b/>
          <w:sz w:val="22"/>
          <w:szCs w:val="22"/>
        </w:rPr>
      </w:pPr>
    </w:p>
    <w:p w14:paraId="64FF07BE" w14:textId="0BF28888" w:rsidR="00BC24B8" w:rsidRDefault="005F10A4" w:rsidP="00BC24B8">
      <w:pPr>
        <w:rPr>
          <w:sz w:val="22"/>
          <w:szCs w:val="22"/>
        </w:rPr>
      </w:pPr>
      <w:r>
        <w:rPr>
          <w:sz w:val="22"/>
          <w:szCs w:val="22"/>
        </w:rPr>
        <w:t>The report provided information on the level of reserves, balances and provisions currently held and explained how some of these would be applied over the next four years to help support the revenue b</w:t>
      </w:r>
      <w:r w:rsidR="00106EEB">
        <w:rPr>
          <w:sz w:val="22"/>
          <w:szCs w:val="22"/>
        </w:rPr>
        <w:t>udget and capital programme.</w:t>
      </w:r>
    </w:p>
    <w:p w14:paraId="223B8569" w14:textId="77777777" w:rsidR="004B138B" w:rsidRDefault="004B138B" w:rsidP="00BC24B8">
      <w:pPr>
        <w:rPr>
          <w:sz w:val="22"/>
          <w:szCs w:val="22"/>
        </w:rPr>
      </w:pPr>
    </w:p>
    <w:p w14:paraId="03441EDB" w14:textId="377058F9" w:rsidR="00EE6F31" w:rsidRDefault="00EE6F31" w:rsidP="00BC24B8">
      <w:pPr>
        <w:rPr>
          <w:sz w:val="22"/>
          <w:szCs w:val="22"/>
        </w:rPr>
      </w:pPr>
      <w:r>
        <w:rPr>
          <w:sz w:val="22"/>
          <w:szCs w:val="22"/>
        </w:rPr>
        <w:t xml:space="preserve">TVP currently complies with the </w:t>
      </w:r>
      <w:r w:rsidR="00443A8C">
        <w:rPr>
          <w:sz w:val="22"/>
          <w:szCs w:val="22"/>
        </w:rPr>
        <w:t>seven</w:t>
      </w:r>
      <w:r>
        <w:rPr>
          <w:sz w:val="22"/>
          <w:szCs w:val="22"/>
        </w:rPr>
        <w:t xml:space="preserve"> key CIPFA principles to assess the adequacy of reserves as set out in Table 1 on page 287.</w:t>
      </w:r>
    </w:p>
    <w:p w14:paraId="14EDE019" w14:textId="77777777" w:rsidR="00EE6F31" w:rsidRDefault="00EE6F31" w:rsidP="00BC24B8">
      <w:pPr>
        <w:rPr>
          <w:sz w:val="22"/>
          <w:szCs w:val="22"/>
        </w:rPr>
      </w:pPr>
    </w:p>
    <w:p w14:paraId="04BAD2B6" w14:textId="3A3545EF" w:rsidR="00EE6F31" w:rsidRDefault="00EE6F31" w:rsidP="00BC24B8">
      <w:pPr>
        <w:rPr>
          <w:sz w:val="22"/>
          <w:szCs w:val="22"/>
        </w:rPr>
      </w:pPr>
      <w:r>
        <w:rPr>
          <w:sz w:val="22"/>
          <w:szCs w:val="22"/>
        </w:rPr>
        <w:t>General balances required to cover financial risks and uncertainties were:</w:t>
      </w:r>
    </w:p>
    <w:p w14:paraId="0E32495E" w14:textId="77777777" w:rsidR="00EE6F31" w:rsidRDefault="00EE6F31" w:rsidP="00BC24B8">
      <w:pPr>
        <w:rPr>
          <w:sz w:val="22"/>
          <w:szCs w:val="22"/>
        </w:rPr>
      </w:pPr>
    </w:p>
    <w:p w14:paraId="28C8B0CD" w14:textId="37F971F1" w:rsidR="00EE6F31" w:rsidRDefault="00EE6F31" w:rsidP="00EE6F31">
      <w:pPr>
        <w:pStyle w:val="ListParagraph"/>
        <w:numPr>
          <w:ilvl w:val="0"/>
          <w:numId w:val="43"/>
        </w:numPr>
        <w:rPr>
          <w:sz w:val="22"/>
        </w:rPr>
      </w:pPr>
      <w:r>
        <w:rPr>
          <w:sz w:val="22"/>
        </w:rPr>
        <w:t>Unforeseen emergencies</w:t>
      </w:r>
    </w:p>
    <w:p w14:paraId="25292EE9" w14:textId="524A085B" w:rsidR="00EE6F31" w:rsidRDefault="00EE6F31" w:rsidP="00EE6F31">
      <w:pPr>
        <w:pStyle w:val="ListParagraph"/>
        <w:numPr>
          <w:ilvl w:val="0"/>
          <w:numId w:val="43"/>
        </w:numPr>
        <w:rPr>
          <w:sz w:val="22"/>
        </w:rPr>
      </w:pPr>
      <w:r>
        <w:rPr>
          <w:sz w:val="22"/>
        </w:rPr>
        <w:t xml:space="preserve">Changes in the demand for policing </w:t>
      </w:r>
    </w:p>
    <w:p w14:paraId="6D2C29BC" w14:textId="71ADEF82" w:rsidR="00EE6F31" w:rsidRDefault="00EE6F31" w:rsidP="00EE6F31">
      <w:pPr>
        <w:pStyle w:val="ListParagraph"/>
        <w:numPr>
          <w:ilvl w:val="0"/>
          <w:numId w:val="43"/>
        </w:numPr>
        <w:rPr>
          <w:sz w:val="22"/>
        </w:rPr>
      </w:pPr>
      <w:r>
        <w:rPr>
          <w:sz w:val="22"/>
        </w:rPr>
        <w:t>Managing the timing of making savings</w:t>
      </w:r>
    </w:p>
    <w:p w14:paraId="6B067470" w14:textId="32D8D8C0" w:rsidR="00EE6F31" w:rsidRDefault="00EE6F31" w:rsidP="00EE6F31">
      <w:pPr>
        <w:pStyle w:val="ListParagraph"/>
        <w:numPr>
          <w:ilvl w:val="0"/>
          <w:numId w:val="43"/>
        </w:numPr>
        <w:rPr>
          <w:sz w:val="22"/>
        </w:rPr>
      </w:pPr>
      <w:r>
        <w:rPr>
          <w:sz w:val="22"/>
        </w:rPr>
        <w:t>Costs of national programmes</w:t>
      </w:r>
    </w:p>
    <w:p w14:paraId="34FEED0D" w14:textId="744F8A50" w:rsidR="00EE6F31" w:rsidRDefault="00EE6F31" w:rsidP="00EE6F31">
      <w:pPr>
        <w:pStyle w:val="ListParagraph"/>
        <w:numPr>
          <w:ilvl w:val="0"/>
          <w:numId w:val="43"/>
        </w:numPr>
        <w:rPr>
          <w:sz w:val="22"/>
        </w:rPr>
      </w:pPr>
      <w:r>
        <w:rPr>
          <w:sz w:val="22"/>
        </w:rPr>
        <w:t>Funding the first 1% of costs for major events</w:t>
      </w:r>
    </w:p>
    <w:p w14:paraId="7454CD29" w14:textId="31A1D66C" w:rsidR="00EE6F31" w:rsidRDefault="00EE6F31" w:rsidP="00EE6F31">
      <w:pPr>
        <w:pStyle w:val="ListParagraph"/>
        <w:numPr>
          <w:ilvl w:val="0"/>
          <w:numId w:val="43"/>
        </w:numPr>
        <w:rPr>
          <w:sz w:val="22"/>
        </w:rPr>
      </w:pPr>
      <w:r>
        <w:rPr>
          <w:sz w:val="22"/>
        </w:rPr>
        <w:t>Uneven cashflows</w:t>
      </w:r>
    </w:p>
    <w:p w14:paraId="614510C9" w14:textId="77777777" w:rsidR="00EE6F31" w:rsidRDefault="00EE6F31" w:rsidP="00EE6F31">
      <w:pPr>
        <w:rPr>
          <w:sz w:val="22"/>
        </w:rPr>
      </w:pPr>
    </w:p>
    <w:p w14:paraId="36F8D46B" w14:textId="6C122118" w:rsidR="0052056B" w:rsidRDefault="00EE6F31" w:rsidP="00EE6F31">
      <w:pPr>
        <w:rPr>
          <w:sz w:val="22"/>
        </w:rPr>
      </w:pPr>
      <w:r>
        <w:rPr>
          <w:sz w:val="22"/>
        </w:rPr>
        <w:t>Table 2 on page 290 showed the current and forecast level of general balances (Predicted Level).  The current forecast level of general balances as at 31 March 2019 was £18.929m which equated to 4.47% of the draft net revenue budget requirement in 2019/20</w:t>
      </w:r>
      <w:r w:rsidR="00B64E14">
        <w:rPr>
          <w:sz w:val="22"/>
        </w:rPr>
        <w:t xml:space="preserve"> which</w:t>
      </w:r>
      <w:r>
        <w:rPr>
          <w:sz w:val="22"/>
        </w:rPr>
        <w:t xml:space="preserve"> was not a bad position to</w:t>
      </w:r>
      <w:r w:rsidR="00B64E14">
        <w:rPr>
          <w:sz w:val="22"/>
        </w:rPr>
        <w:t xml:space="preserve"> currently be </w:t>
      </w:r>
      <w:r>
        <w:rPr>
          <w:sz w:val="22"/>
        </w:rPr>
        <w:t>in.</w:t>
      </w:r>
      <w:r w:rsidR="00AC7C19">
        <w:rPr>
          <w:sz w:val="22"/>
        </w:rPr>
        <w:t xml:space="preserve"> </w:t>
      </w:r>
    </w:p>
    <w:p w14:paraId="4617DCAE" w14:textId="77777777" w:rsidR="0052056B" w:rsidRDefault="0052056B" w:rsidP="00EE6F31">
      <w:pPr>
        <w:rPr>
          <w:sz w:val="22"/>
        </w:rPr>
      </w:pPr>
    </w:p>
    <w:p w14:paraId="098B9046" w14:textId="0E8C915B" w:rsidR="0052056B" w:rsidRDefault="00E62792" w:rsidP="00EE6F31">
      <w:pPr>
        <w:rPr>
          <w:sz w:val="22"/>
        </w:rPr>
      </w:pPr>
      <w:r>
        <w:rPr>
          <w:sz w:val="22"/>
        </w:rPr>
        <w:t>(</w:t>
      </w:r>
      <w:r w:rsidR="00EE6F31">
        <w:rPr>
          <w:sz w:val="22"/>
        </w:rPr>
        <w:t>IT</w:t>
      </w:r>
      <w:r>
        <w:rPr>
          <w:sz w:val="22"/>
        </w:rPr>
        <w:t>)</w:t>
      </w:r>
      <w:r w:rsidR="00EE6F31">
        <w:rPr>
          <w:sz w:val="22"/>
        </w:rPr>
        <w:t xml:space="preserve"> continued to summarise Compliance with Home Office guidance on police reserves as well as Provisions.  </w:t>
      </w:r>
    </w:p>
    <w:p w14:paraId="5994ED7D" w14:textId="77777777" w:rsidR="0052056B" w:rsidRDefault="0052056B" w:rsidP="00EE6F31">
      <w:pPr>
        <w:rPr>
          <w:sz w:val="22"/>
        </w:rPr>
      </w:pPr>
    </w:p>
    <w:p w14:paraId="49D761CD" w14:textId="4A2A7345" w:rsidR="00EE6F31" w:rsidRDefault="00EE6F31" w:rsidP="00EE6F31">
      <w:pPr>
        <w:rPr>
          <w:sz w:val="22"/>
        </w:rPr>
      </w:pPr>
      <w:r>
        <w:rPr>
          <w:sz w:val="22"/>
        </w:rPr>
        <w:t xml:space="preserve">A revenue provision existed for meeting ongoing claims under a self-insurance scheme.  The insurance provision had recently been assessed by the actuary, Marsh.  Their provisional assessment of total liabilities as at 31 March 2010 was £8.34m which was £0.26m higher than the existing provision on 1 April 2019.  </w:t>
      </w:r>
      <w:r w:rsidR="00E62792">
        <w:rPr>
          <w:sz w:val="22"/>
        </w:rPr>
        <w:t>(</w:t>
      </w:r>
      <w:r>
        <w:rPr>
          <w:sz w:val="22"/>
        </w:rPr>
        <w:t>IT</w:t>
      </w:r>
      <w:r w:rsidR="00E62792">
        <w:rPr>
          <w:sz w:val="22"/>
        </w:rPr>
        <w:t>)</w:t>
      </w:r>
      <w:r>
        <w:rPr>
          <w:sz w:val="22"/>
        </w:rPr>
        <w:t xml:space="preserve"> noted that if this stay</w:t>
      </w:r>
      <w:r w:rsidR="00B64E14">
        <w:rPr>
          <w:sz w:val="22"/>
        </w:rPr>
        <w:t>ed</w:t>
      </w:r>
      <w:r>
        <w:rPr>
          <w:sz w:val="22"/>
        </w:rPr>
        <w:t xml:space="preserve"> like this, the organisation would need to move monies to ensure stability.   </w:t>
      </w:r>
    </w:p>
    <w:p w14:paraId="3A1FEF67" w14:textId="77777777" w:rsidR="00EE6F31" w:rsidRDefault="00EE6F31" w:rsidP="00EE6F31">
      <w:pPr>
        <w:rPr>
          <w:sz w:val="22"/>
        </w:rPr>
      </w:pPr>
    </w:p>
    <w:p w14:paraId="7630075A" w14:textId="41B0F872" w:rsidR="00EE6F31" w:rsidRDefault="0052056B" w:rsidP="00EE6F31">
      <w:pPr>
        <w:rPr>
          <w:sz w:val="22"/>
        </w:rPr>
      </w:pPr>
      <w:r>
        <w:rPr>
          <w:sz w:val="22"/>
        </w:rPr>
        <w:t>In conclusion t</w:t>
      </w:r>
      <w:r w:rsidR="004B138B">
        <w:rPr>
          <w:sz w:val="22"/>
        </w:rPr>
        <w:t>he current policy was to maintain revenue general balances close to an operational guideline level of 3.0% of the net annual revenue budget, with an absolute minimum level of 2.5%.  The latest estimate of general balances as at 31 March 2019 was £18.9m which equated to 4.5% of the net revenue budge</w:t>
      </w:r>
      <w:r w:rsidR="00B64E14">
        <w:rPr>
          <w:sz w:val="22"/>
        </w:rPr>
        <w:t>t</w:t>
      </w:r>
      <w:r w:rsidR="004B138B">
        <w:rPr>
          <w:sz w:val="22"/>
        </w:rPr>
        <w:t xml:space="preserve"> in 2019</w:t>
      </w:r>
      <w:r w:rsidR="00B64E14">
        <w:rPr>
          <w:sz w:val="22"/>
        </w:rPr>
        <w:t>/</w:t>
      </w:r>
      <w:r w:rsidR="004B138B">
        <w:rPr>
          <w:sz w:val="22"/>
        </w:rPr>
        <w:t xml:space="preserve">20 and based on current planning assumptions, the level of general balances should stay </w:t>
      </w:r>
      <w:r w:rsidR="00B64E14">
        <w:rPr>
          <w:sz w:val="22"/>
        </w:rPr>
        <w:t xml:space="preserve">at </w:t>
      </w:r>
      <w:r w:rsidR="004B138B">
        <w:rPr>
          <w:sz w:val="22"/>
        </w:rPr>
        <w:t xml:space="preserve">about the 3% guideline level through to 2022/23.  This was an acceptable and appropriate position to be in although the organisation did not know at this stage the exact level of government grant support that would be received in future years especially beyond 2019/20.  This was an adequate situation at the moment but </w:t>
      </w:r>
      <w:r w:rsidR="00B64E14">
        <w:rPr>
          <w:sz w:val="22"/>
        </w:rPr>
        <w:t xml:space="preserve">would </w:t>
      </w:r>
      <w:r w:rsidR="004B138B">
        <w:rPr>
          <w:sz w:val="22"/>
        </w:rPr>
        <w:t xml:space="preserve">not </w:t>
      </w:r>
      <w:r w:rsidR="00B64E14">
        <w:rPr>
          <w:sz w:val="22"/>
        </w:rPr>
        <w:t xml:space="preserve">be </w:t>
      </w:r>
      <w:r w:rsidR="004B138B">
        <w:rPr>
          <w:sz w:val="22"/>
        </w:rPr>
        <w:t>after four years.</w:t>
      </w:r>
    </w:p>
    <w:p w14:paraId="2CB99BB4" w14:textId="77777777" w:rsidR="004B138B" w:rsidRDefault="004B138B" w:rsidP="00EE6F31">
      <w:pPr>
        <w:rPr>
          <w:sz w:val="22"/>
        </w:rPr>
      </w:pPr>
    </w:p>
    <w:p w14:paraId="2B4E2B83" w14:textId="623191DC" w:rsidR="004B138B" w:rsidRPr="00EE6F31" w:rsidRDefault="00E62792" w:rsidP="00EE6F31">
      <w:pPr>
        <w:rPr>
          <w:sz w:val="22"/>
        </w:rPr>
      </w:pPr>
      <w:r>
        <w:rPr>
          <w:sz w:val="22"/>
        </w:rPr>
        <w:t>(</w:t>
      </w:r>
      <w:r w:rsidR="004B138B">
        <w:rPr>
          <w:sz w:val="22"/>
        </w:rPr>
        <w:t>IT</w:t>
      </w:r>
      <w:r>
        <w:rPr>
          <w:sz w:val="22"/>
        </w:rPr>
        <w:t>)</w:t>
      </w:r>
      <w:r w:rsidR="004B138B">
        <w:rPr>
          <w:sz w:val="22"/>
        </w:rPr>
        <w:t xml:space="preserve"> then went through the Appendices for Risk and Sensitivity Assessment and the Scoring Table on pages 296 and 297 with references made to numbers 1 and 2 as well as Summary of Revenue and Capital Balances and Analysis of Earmarked Revenue Reserves for Home Office as set out on pages 299 and 300.</w:t>
      </w:r>
    </w:p>
    <w:p w14:paraId="2A8DB915" w14:textId="77777777" w:rsidR="00610F89" w:rsidRDefault="00610F89" w:rsidP="00BC24B8">
      <w:pPr>
        <w:rPr>
          <w:b/>
          <w:sz w:val="22"/>
          <w:szCs w:val="22"/>
        </w:rPr>
      </w:pPr>
    </w:p>
    <w:p w14:paraId="3F3D885D" w14:textId="77777777" w:rsidR="00496D07" w:rsidRDefault="00496D07" w:rsidP="00BC24B8">
      <w:pPr>
        <w:rPr>
          <w:b/>
          <w:sz w:val="22"/>
          <w:szCs w:val="22"/>
        </w:rPr>
      </w:pPr>
    </w:p>
    <w:p w14:paraId="4A5C1AD0" w14:textId="77777777" w:rsidR="0052056B" w:rsidRDefault="00AB1C9E" w:rsidP="00BC24B8">
      <w:pPr>
        <w:rPr>
          <w:sz w:val="22"/>
          <w:szCs w:val="22"/>
        </w:rPr>
      </w:pPr>
      <w:r>
        <w:rPr>
          <w:sz w:val="22"/>
          <w:szCs w:val="22"/>
        </w:rPr>
        <w:t>The PCC</w:t>
      </w:r>
      <w:r w:rsidR="0052056B">
        <w:rPr>
          <w:sz w:val="22"/>
          <w:szCs w:val="22"/>
        </w:rPr>
        <w:t>:</w:t>
      </w:r>
    </w:p>
    <w:p w14:paraId="4C0F686F" w14:textId="77777777" w:rsidR="0052056B" w:rsidRDefault="0052056B" w:rsidP="00BC24B8">
      <w:pPr>
        <w:rPr>
          <w:sz w:val="22"/>
          <w:szCs w:val="22"/>
        </w:rPr>
      </w:pPr>
    </w:p>
    <w:p w14:paraId="13EC8FCA" w14:textId="77777777" w:rsidR="0052056B" w:rsidRPr="00AA5289" w:rsidRDefault="0052056B" w:rsidP="00AA5289">
      <w:pPr>
        <w:pStyle w:val="ListParagraph"/>
        <w:numPr>
          <w:ilvl w:val="0"/>
          <w:numId w:val="46"/>
        </w:numPr>
        <w:rPr>
          <w:sz w:val="22"/>
        </w:rPr>
      </w:pPr>
      <w:r w:rsidRPr="00AA5289">
        <w:rPr>
          <w:b/>
          <w:sz w:val="22"/>
        </w:rPr>
        <w:t>NOTED</w:t>
      </w:r>
      <w:r w:rsidRPr="00AA5289">
        <w:rPr>
          <w:sz w:val="22"/>
        </w:rPr>
        <w:t xml:space="preserve"> the level of reserves and balances currently held</w:t>
      </w:r>
    </w:p>
    <w:p w14:paraId="36A51DD8" w14:textId="32E7CDEF" w:rsidR="00496D07" w:rsidRPr="00AA5289" w:rsidRDefault="00AB1C9E" w:rsidP="00AA5289">
      <w:pPr>
        <w:pStyle w:val="ListParagraph"/>
        <w:numPr>
          <w:ilvl w:val="0"/>
          <w:numId w:val="46"/>
        </w:numPr>
        <w:rPr>
          <w:sz w:val="22"/>
        </w:rPr>
      </w:pPr>
      <w:r w:rsidRPr="00AA5289">
        <w:rPr>
          <w:b/>
          <w:sz w:val="22"/>
        </w:rPr>
        <w:t>APPROVED</w:t>
      </w:r>
      <w:r w:rsidRPr="00AA5289">
        <w:rPr>
          <w:sz w:val="22"/>
        </w:rPr>
        <w:t xml:space="preserve"> in principle the planned application of reserves over the next four years to help support the revenue budget and capital programme</w:t>
      </w:r>
      <w:r w:rsidR="0052056B" w:rsidRPr="00AA5289">
        <w:rPr>
          <w:sz w:val="22"/>
        </w:rPr>
        <w:t>, in particular the proposed drawdown from the Improvement &amp; Performance Reserve as shown in Table 4 in Annex 1</w:t>
      </w:r>
      <w:r w:rsidRPr="00AA5289">
        <w:rPr>
          <w:sz w:val="22"/>
        </w:rPr>
        <w:t>.</w:t>
      </w:r>
    </w:p>
    <w:p w14:paraId="564FD9B8" w14:textId="77777777" w:rsidR="0052056B" w:rsidRDefault="0052056B" w:rsidP="00BC24B8">
      <w:pPr>
        <w:rPr>
          <w:sz w:val="22"/>
          <w:szCs w:val="22"/>
        </w:rPr>
      </w:pPr>
    </w:p>
    <w:p w14:paraId="37768B11" w14:textId="77777777" w:rsidR="00AB1C9E" w:rsidRPr="00AB1C9E" w:rsidRDefault="00AB1C9E" w:rsidP="00BC24B8">
      <w:pPr>
        <w:rPr>
          <w:sz w:val="22"/>
          <w:szCs w:val="22"/>
        </w:rPr>
      </w:pPr>
    </w:p>
    <w:p w14:paraId="1A023179" w14:textId="77777777" w:rsidR="00610F89" w:rsidRDefault="00610F89" w:rsidP="00BC24B8">
      <w:pPr>
        <w:rPr>
          <w:b/>
          <w:sz w:val="22"/>
          <w:szCs w:val="22"/>
        </w:rPr>
      </w:pPr>
    </w:p>
    <w:p w14:paraId="6C4230BC" w14:textId="42548C64" w:rsidR="00BC24B8" w:rsidRPr="00BC24B8" w:rsidRDefault="00BC24B8" w:rsidP="00BC24B8">
      <w:pPr>
        <w:rPr>
          <w:b/>
          <w:sz w:val="22"/>
          <w:szCs w:val="22"/>
        </w:rPr>
      </w:pPr>
      <w:r>
        <w:rPr>
          <w:b/>
          <w:sz w:val="22"/>
          <w:szCs w:val="22"/>
        </w:rPr>
        <w:t>46.</w:t>
      </w:r>
      <w:r>
        <w:rPr>
          <w:b/>
          <w:sz w:val="22"/>
          <w:szCs w:val="22"/>
        </w:rPr>
        <w:tab/>
        <w:t>DECISIONS TAKE UNDER DELEGATED POWERS</w:t>
      </w:r>
    </w:p>
    <w:p w14:paraId="1E8FEA33" w14:textId="77777777" w:rsidR="00BC24B8" w:rsidRDefault="00BC24B8" w:rsidP="009706D0">
      <w:pPr>
        <w:ind w:left="720" w:hanging="720"/>
        <w:rPr>
          <w:b/>
          <w:sz w:val="22"/>
          <w:szCs w:val="22"/>
        </w:rPr>
      </w:pPr>
    </w:p>
    <w:p w14:paraId="6130B670" w14:textId="5C3264D2" w:rsidR="00610F89" w:rsidRDefault="004B138B" w:rsidP="004B138B">
      <w:pPr>
        <w:rPr>
          <w:sz w:val="22"/>
          <w:szCs w:val="22"/>
        </w:rPr>
      </w:pPr>
      <w:r>
        <w:rPr>
          <w:sz w:val="22"/>
          <w:szCs w:val="22"/>
        </w:rPr>
        <w:t>The report detail</w:t>
      </w:r>
      <w:r w:rsidR="00B64E14">
        <w:rPr>
          <w:sz w:val="22"/>
          <w:szCs w:val="22"/>
        </w:rPr>
        <w:t>ed</w:t>
      </w:r>
      <w:r>
        <w:rPr>
          <w:sz w:val="22"/>
          <w:szCs w:val="22"/>
        </w:rPr>
        <w:t xml:space="preserve"> the decisions that had been taken in accordance with the Scheme of Governance in the period 1 November to 31 December 2018.</w:t>
      </w:r>
    </w:p>
    <w:p w14:paraId="15C989A3" w14:textId="77777777" w:rsidR="004B138B" w:rsidRDefault="004B138B" w:rsidP="004B138B">
      <w:pPr>
        <w:rPr>
          <w:sz w:val="22"/>
          <w:szCs w:val="22"/>
        </w:rPr>
      </w:pPr>
    </w:p>
    <w:p w14:paraId="1A40A0E2" w14:textId="60E97A89" w:rsidR="004B138B" w:rsidRDefault="00E62792" w:rsidP="004B138B">
      <w:pPr>
        <w:rPr>
          <w:sz w:val="22"/>
          <w:szCs w:val="22"/>
        </w:rPr>
      </w:pPr>
      <w:r>
        <w:rPr>
          <w:sz w:val="22"/>
          <w:szCs w:val="22"/>
        </w:rPr>
        <w:t>(</w:t>
      </w:r>
      <w:r w:rsidR="004B138B">
        <w:rPr>
          <w:sz w:val="22"/>
          <w:szCs w:val="22"/>
        </w:rPr>
        <w:t>LW</w:t>
      </w:r>
      <w:r>
        <w:rPr>
          <w:sz w:val="22"/>
          <w:szCs w:val="22"/>
        </w:rPr>
        <w:t>)</w:t>
      </w:r>
      <w:r w:rsidR="004B138B">
        <w:rPr>
          <w:sz w:val="22"/>
          <w:szCs w:val="22"/>
        </w:rPr>
        <w:t xml:space="preserve"> spoke about the Scheme of Governance which included a number of delegations from the Chief Constable to the Director of People to facilitate effective day-to-day management.  During this period 8 applications were granted to extend occupational sick pay on behalf of members of police staff and 2 applications </w:t>
      </w:r>
      <w:r w:rsidR="0052056B">
        <w:rPr>
          <w:sz w:val="22"/>
          <w:szCs w:val="22"/>
        </w:rPr>
        <w:t xml:space="preserve">approved </w:t>
      </w:r>
      <w:r w:rsidR="004B138B">
        <w:rPr>
          <w:sz w:val="22"/>
          <w:szCs w:val="22"/>
        </w:rPr>
        <w:t>to permit late inward transfer of pension rights during this period.</w:t>
      </w:r>
    </w:p>
    <w:p w14:paraId="50E12F8E" w14:textId="77777777" w:rsidR="004B138B" w:rsidRDefault="004B138B" w:rsidP="004B138B">
      <w:pPr>
        <w:rPr>
          <w:sz w:val="22"/>
          <w:szCs w:val="22"/>
        </w:rPr>
      </w:pPr>
    </w:p>
    <w:p w14:paraId="57887B2D" w14:textId="01D428B0" w:rsidR="004B138B" w:rsidRDefault="004B138B" w:rsidP="004B138B">
      <w:pPr>
        <w:rPr>
          <w:sz w:val="22"/>
          <w:szCs w:val="22"/>
        </w:rPr>
      </w:pPr>
      <w:r>
        <w:rPr>
          <w:sz w:val="22"/>
          <w:szCs w:val="22"/>
        </w:rPr>
        <w:t xml:space="preserve">Between 1 November and 31 December 2018 the following payments </w:t>
      </w:r>
      <w:r w:rsidR="0052056B">
        <w:rPr>
          <w:sz w:val="22"/>
          <w:szCs w:val="22"/>
        </w:rPr>
        <w:t xml:space="preserve">were </w:t>
      </w:r>
      <w:r>
        <w:rPr>
          <w:sz w:val="22"/>
          <w:szCs w:val="22"/>
        </w:rPr>
        <w:t>made:</w:t>
      </w:r>
    </w:p>
    <w:p w14:paraId="6FA2646C" w14:textId="77777777" w:rsidR="004B138B" w:rsidRDefault="004B138B" w:rsidP="004B138B">
      <w:pPr>
        <w:rPr>
          <w:sz w:val="22"/>
          <w:szCs w:val="22"/>
        </w:rPr>
      </w:pPr>
    </w:p>
    <w:p w14:paraId="6B4C07F4" w14:textId="6CD40E74" w:rsidR="004B138B" w:rsidRDefault="004B138B" w:rsidP="004B138B">
      <w:pPr>
        <w:pStyle w:val="ListParagraph"/>
        <w:numPr>
          <w:ilvl w:val="0"/>
          <w:numId w:val="44"/>
        </w:numPr>
        <w:rPr>
          <w:sz w:val="22"/>
        </w:rPr>
      </w:pPr>
      <w:r>
        <w:rPr>
          <w:sz w:val="22"/>
        </w:rPr>
        <w:t>Under Public Liability – 12 payments under £10,000 had been made totalling £11,117.22;</w:t>
      </w:r>
    </w:p>
    <w:p w14:paraId="75C04997" w14:textId="56101D9C" w:rsidR="004B138B" w:rsidRDefault="004B138B" w:rsidP="004B138B">
      <w:pPr>
        <w:pStyle w:val="ListParagraph"/>
        <w:numPr>
          <w:ilvl w:val="0"/>
          <w:numId w:val="44"/>
        </w:numPr>
        <w:rPr>
          <w:sz w:val="22"/>
        </w:rPr>
      </w:pPr>
      <w:r>
        <w:rPr>
          <w:sz w:val="22"/>
        </w:rPr>
        <w:t>Under Employers Liability – 1 payment had been made totalling £300.00;</w:t>
      </w:r>
    </w:p>
    <w:p w14:paraId="390D80B9" w14:textId="60CC44C7" w:rsidR="004B138B" w:rsidRDefault="004B138B" w:rsidP="004B138B">
      <w:pPr>
        <w:pStyle w:val="ListParagraph"/>
        <w:numPr>
          <w:ilvl w:val="0"/>
          <w:numId w:val="44"/>
        </w:numPr>
        <w:rPr>
          <w:sz w:val="22"/>
        </w:rPr>
      </w:pPr>
      <w:r>
        <w:rPr>
          <w:sz w:val="22"/>
        </w:rPr>
        <w:t>Ex-gratia payments – 2 payments had been made totalling £680.00;</w:t>
      </w:r>
    </w:p>
    <w:p w14:paraId="0E40A37A" w14:textId="65C3C3CD" w:rsidR="004B138B" w:rsidRDefault="004B138B" w:rsidP="004B138B">
      <w:pPr>
        <w:pStyle w:val="ListParagraph"/>
        <w:numPr>
          <w:ilvl w:val="0"/>
          <w:numId w:val="44"/>
        </w:numPr>
        <w:rPr>
          <w:sz w:val="22"/>
        </w:rPr>
      </w:pPr>
      <w:r>
        <w:rPr>
          <w:sz w:val="22"/>
        </w:rPr>
        <w:t>Employment Tribunal settlements – 1 settlement had been made for £45,000 in this period.</w:t>
      </w:r>
    </w:p>
    <w:p w14:paraId="1452C6CD" w14:textId="77777777" w:rsidR="00B64E14" w:rsidRDefault="00B64E14" w:rsidP="00AC7C19">
      <w:pPr>
        <w:rPr>
          <w:sz w:val="22"/>
        </w:rPr>
      </w:pPr>
    </w:p>
    <w:p w14:paraId="7AEE3728" w14:textId="52277EEE" w:rsidR="00AC7C19" w:rsidRDefault="00AC7C19" w:rsidP="00AC7C19">
      <w:pPr>
        <w:rPr>
          <w:sz w:val="22"/>
        </w:rPr>
      </w:pPr>
      <w:r>
        <w:rPr>
          <w:sz w:val="22"/>
        </w:rPr>
        <w:t xml:space="preserve">Finally, </w:t>
      </w:r>
      <w:r w:rsidR="00E62792">
        <w:rPr>
          <w:sz w:val="22"/>
        </w:rPr>
        <w:t>(</w:t>
      </w:r>
      <w:r w:rsidRPr="00AC7C19">
        <w:rPr>
          <w:sz w:val="22"/>
        </w:rPr>
        <w:t>LW</w:t>
      </w:r>
      <w:r w:rsidR="00E62792">
        <w:rPr>
          <w:sz w:val="22"/>
        </w:rPr>
        <w:t>)</w:t>
      </w:r>
      <w:r w:rsidRPr="00AC7C19">
        <w:rPr>
          <w:sz w:val="22"/>
        </w:rPr>
        <w:t xml:space="preserve"> </w:t>
      </w:r>
      <w:r>
        <w:rPr>
          <w:sz w:val="22"/>
        </w:rPr>
        <w:t xml:space="preserve">ran through </w:t>
      </w:r>
      <w:r w:rsidRPr="00AC7C19">
        <w:rPr>
          <w:sz w:val="22"/>
        </w:rPr>
        <w:t>the contractual decisions set out on page 30</w:t>
      </w:r>
      <w:r>
        <w:rPr>
          <w:sz w:val="22"/>
        </w:rPr>
        <w:t>7 (Appendix A)</w:t>
      </w:r>
      <w:r w:rsidRPr="00AC7C19">
        <w:rPr>
          <w:sz w:val="22"/>
        </w:rPr>
        <w:t>.</w:t>
      </w:r>
    </w:p>
    <w:p w14:paraId="2610EB59" w14:textId="77777777" w:rsidR="00AC7C19" w:rsidRDefault="00AC7C19" w:rsidP="00AC7C19">
      <w:pPr>
        <w:rPr>
          <w:sz w:val="22"/>
        </w:rPr>
      </w:pPr>
    </w:p>
    <w:p w14:paraId="72E530CB" w14:textId="77777777" w:rsidR="00AA5289" w:rsidRDefault="00AA5289" w:rsidP="00AA5289">
      <w:pPr>
        <w:rPr>
          <w:sz w:val="22"/>
          <w:szCs w:val="22"/>
        </w:rPr>
      </w:pPr>
      <w:r>
        <w:rPr>
          <w:sz w:val="22"/>
          <w:szCs w:val="22"/>
        </w:rPr>
        <w:t xml:space="preserve">The PCC </w:t>
      </w:r>
      <w:r w:rsidRPr="00361394">
        <w:rPr>
          <w:b/>
          <w:sz w:val="22"/>
          <w:szCs w:val="22"/>
        </w:rPr>
        <w:t>NOTED</w:t>
      </w:r>
      <w:r>
        <w:rPr>
          <w:sz w:val="22"/>
          <w:szCs w:val="22"/>
        </w:rPr>
        <w:t xml:space="preserve"> the decisions and </w:t>
      </w:r>
      <w:r>
        <w:rPr>
          <w:b/>
          <w:sz w:val="22"/>
          <w:szCs w:val="22"/>
        </w:rPr>
        <w:t xml:space="preserve">APPROVED </w:t>
      </w:r>
      <w:r>
        <w:rPr>
          <w:sz w:val="22"/>
          <w:szCs w:val="22"/>
        </w:rPr>
        <w:t xml:space="preserve">the recommendations given by Chief Officers during the period 1 November 2018 to 31 December 2018.  </w:t>
      </w:r>
    </w:p>
    <w:p w14:paraId="14EE4D5B" w14:textId="77777777" w:rsidR="00AA5289" w:rsidRDefault="00AA5289" w:rsidP="00AC7C19">
      <w:pPr>
        <w:rPr>
          <w:sz w:val="22"/>
        </w:rPr>
      </w:pPr>
    </w:p>
    <w:p w14:paraId="151A524F" w14:textId="77777777" w:rsidR="00AA5289" w:rsidRDefault="00AA5289" w:rsidP="00AC7C19">
      <w:pPr>
        <w:rPr>
          <w:sz w:val="22"/>
        </w:rPr>
      </w:pPr>
    </w:p>
    <w:p w14:paraId="262A8BCD" w14:textId="77777777" w:rsidR="00AA5289" w:rsidRDefault="00AA5289" w:rsidP="00AC7C19">
      <w:pPr>
        <w:rPr>
          <w:sz w:val="22"/>
        </w:rPr>
      </w:pPr>
    </w:p>
    <w:p w14:paraId="722182E1" w14:textId="5DE83B55" w:rsidR="00AC7C19" w:rsidRPr="00AC7C19" w:rsidRDefault="00AC7C19" w:rsidP="00AC7C19">
      <w:pPr>
        <w:rPr>
          <w:sz w:val="22"/>
        </w:rPr>
      </w:pPr>
      <w:r>
        <w:rPr>
          <w:sz w:val="22"/>
        </w:rPr>
        <w:t>The PCC wanted to thank</w:t>
      </w:r>
      <w:r w:rsidR="00923021">
        <w:rPr>
          <w:sz w:val="22"/>
        </w:rPr>
        <w:t xml:space="preserve"> Charlotte Roberts</w:t>
      </w:r>
      <w:r>
        <w:rPr>
          <w:sz w:val="22"/>
        </w:rPr>
        <w:t xml:space="preserve"> </w:t>
      </w:r>
      <w:r w:rsidR="00E62792">
        <w:rPr>
          <w:sz w:val="22"/>
        </w:rPr>
        <w:t>(</w:t>
      </w:r>
      <w:r>
        <w:rPr>
          <w:sz w:val="22"/>
        </w:rPr>
        <w:t>CR</w:t>
      </w:r>
      <w:r w:rsidR="00E62792">
        <w:rPr>
          <w:sz w:val="22"/>
        </w:rPr>
        <w:t>)</w:t>
      </w:r>
      <w:r>
        <w:rPr>
          <w:sz w:val="22"/>
        </w:rPr>
        <w:t xml:space="preserve"> for the </w:t>
      </w:r>
      <w:r w:rsidR="00923021">
        <w:rPr>
          <w:sz w:val="22"/>
        </w:rPr>
        <w:t xml:space="preserve">comprehensive set of </w:t>
      </w:r>
      <w:r>
        <w:rPr>
          <w:sz w:val="22"/>
        </w:rPr>
        <w:t>minutes</w:t>
      </w:r>
      <w:r w:rsidR="00923021">
        <w:rPr>
          <w:sz w:val="22"/>
        </w:rPr>
        <w:t xml:space="preserve"> produced and also wished to thank </w:t>
      </w:r>
      <w:r w:rsidR="00E62792">
        <w:rPr>
          <w:sz w:val="22"/>
        </w:rPr>
        <w:t>(</w:t>
      </w:r>
      <w:r>
        <w:rPr>
          <w:sz w:val="22"/>
        </w:rPr>
        <w:t>IT/LW</w:t>
      </w:r>
      <w:r w:rsidR="00E62792">
        <w:rPr>
          <w:sz w:val="22"/>
        </w:rPr>
        <w:t>)</w:t>
      </w:r>
      <w:r>
        <w:rPr>
          <w:sz w:val="22"/>
        </w:rPr>
        <w:t xml:space="preserve"> for all figures supplied at today’s</w:t>
      </w:r>
      <w:r w:rsidR="00B64E14">
        <w:rPr>
          <w:sz w:val="22"/>
        </w:rPr>
        <w:t xml:space="preserve"> meeting</w:t>
      </w:r>
      <w:r>
        <w:rPr>
          <w:sz w:val="22"/>
        </w:rPr>
        <w:t xml:space="preserve"> as well as </w:t>
      </w:r>
      <w:r w:rsidR="00B64E14">
        <w:rPr>
          <w:sz w:val="22"/>
        </w:rPr>
        <w:t>thanking (</w:t>
      </w:r>
      <w:r>
        <w:rPr>
          <w:sz w:val="22"/>
        </w:rPr>
        <w:t>CC Habgood</w:t>
      </w:r>
      <w:r w:rsidR="00B64E14">
        <w:rPr>
          <w:sz w:val="22"/>
        </w:rPr>
        <w:t>)</w:t>
      </w:r>
      <w:r>
        <w:rPr>
          <w:sz w:val="22"/>
        </w:rPr>
        <w:t xml:space="preserve"> and </w:t>
      </w:r>
      <w:r w:rsidR="00E62792">
        <w:rPr>
          <w:sz w:val="22"/>
        </w:rPr>
        <w:t>(</w:t>
      </w:r>
      <w:r>
        <w:rPr>
          <w:sz w:val="22"/>
        </w:rPr>
        <w:t>DCC Campbell</w:t>
      </w:r>
      <w:r w:rsidR="00E62792">
        <w:rPr>
          <w:sz w:val="22"/>
        </w:rPr>
        <w:t>)</w:t>
      </w:r>
      <w:r>
        <w:rPr>
          <w:sz w:val="22"/>
        </w:rPr>
        <w:t>.</w:t>
      </w:r>
    </w:p>
    <w:p w14:paraId="2CB514A5" w14:textId="77777777" w:rsidR="00AC7C19" w:rsidRPr="00AC7C19" w:rsidRDefault="00AC7C19" w:rsidP="00AC7C19">
      <w:pPr>
        <w:rPr>
          <w:sz w:val="22"/>
        </w:rPr>
      </w:pPr>
    </w:p>
    <w:p w14:paraId="3644E17A" w14:textId="77777777" w:rsidR="00BC24B8" w:rsidRDefault="00BC24B8" w:rsidP="009706D0">
      <w:pPr>
        <w:ind w:left="720" w:hanging="720"/>
        <w:rPr>
          <w:b/>
          <w:sz w:val="22"/>
          <w:szCs w:val="22"/>
        </w:rPr>
      </w:pPr>
    </w:p>
    <w:p w14:paraId="27F41116" w14:textId="47D8B706" w:rsidR="00C845ED" w:rsidRPr="008468B0" w:rsidRDefault="00C845ED" w:rsidP="009706D0">
      <w:pPr>
        <w:rPr>
          <w:sz w:val="22"/>
          <w:szCs w:val="22"/>
        </w:rPr>
      </w:pPr>
      <w:r>
        <w:rPr>
          <w:sz w:val="22"/>
          <w:szCs w:val="22"/>
        </w:rPr>
        <w:t xml:space="preserve">The meeting concluded at </w:t>
      </w:r>
      <w:r w:rsidR="00610F89">
        <w:rPr>
          <w:sz w:val="22"/>
          <w:szCs w:val="22"/>
        </w:rPr>
        <w:t>1</w:t>
      </w:r>
      <w:r w:rsidR="00AC7C19">
        <w:rPr>
          <w:sz w:val="22"/>
          <w:szCs w:val="22"/>
        </w:rPr>
        <w:t>2</w:t>
      </w:r>
      <w:r w:rsidR="00610F89">
        <w:rPr>
          <w:sz w:val="22"/>
          <w:szCs w:val="22"/>
        </w:rPr>
        <w:t>.</w:t>
      </w:r>
      <w:r w:rsidR="00AC7C19">
        <w:rPr>
          <w:sz w:val="22"/>
          <w:szCs w:val="22"/>
        </w:rPr>
        <w:t>2</w:t>
      </w:r>
      <w:r w:rsidR="00610F89">
        <w:rPr>
          <w:sz w:val="22"/>
          <w:szCs w:val="22"/>
        </w:rPr>
        <w:t>0pm</w:t>
      </w:r>
      <w:r w:rsidR="004E7BF8">
        <w:rPr>
          <w:sz w:val="22"/>
          <w:szCs w:val="22"/>
        </w:rPr>
        <w:t>.</w:t>
      </w:r>
    </w:p>
    <w:p w14:paraId="5C5DA45F" w14:textId="77777777" w:rsidR="009626A5" w:rsidRDefault="009626A5" w:rsidP="009706D0">
      <w:pPr>
        <w:rPr>
          <w:b/>
          <w:sz w:val="22"/>
          <w:szCs w:val="22"/>
        </w:rPr>
      </w:pPr>
    </w:p>
    <w:p w14:paraId="557530BD" w14:textId="77777777" w:rsidR="000E2317" w:rsidRDefault="000E2317" w:rsidP="009706D0">
      <w:pPr>
        <w:rPr>
          <w:rFonts w:cs="Arial"/>
          <w:b/>
          <w:sz w:val="22"/>
          <w:szCs w:val="22"/>
        </w:rPr>
      </w:pPr>
    </w:p>
    <w:p w14:paraId="30588D25" w14:textId="44FD1D7E" w:rsidR="00275197" w:rsidRPr="002C0DE1" w:rsidRDefault="00275197" w:rsidP="009706D0">
      <w:pPr>
        <w:rPr>
          <w:rFonts w:cs="Arial"/>
          <w:sz w:val="22"/>
          <w:szCs w:val="22"/>
        </w:rPr>
      </w:pPr>
      <w:r w:rsidRPr="002C0DE1">
        <w:rPr>
          <w:rFonts w:cs="Arial"/>
          <w:b/>
          <w:sz w:val="22"/>
          <w:szCs w:val="22"/>
        </w:rPr>
        <w:t>DATE OF NEXT MEETING</w:t>
      </w:r>
    </w:p>
    <w:p w14:paraId="502BA493" w14:textId="77777777" w:rsidR="005D0A0A" w:rsidRPr="002C0DE1" w:rsidRDefault="005D0A0A" w:rsidP="009706D0">
      <w:pPr>
        <w:rPr>
          <w:rFonts w:cs="Arial"/>
          <w:b/>
          <w:sz w:val="22"/>
          <w:szCs w:val="22"/>
        </w:rPr>
      </w:pPr>
    </w:p>
    <w:p w14:paraId="52B2A1F6" w14:textId="7A4CAC47" w:rsidR="005D75B5" w:rsidRPr="00124DCA" w:rsidRDefault="002943F7" w:rsidP="009706D0">
      <w:pPr>
        <w:rPr>
          <w:rFonts w:cs="Arial"/>
          <w:sz w:val="22"/>
          <w:szCs w:val="22"/>
        </w:rPr>
      </w:pPr>
      <w:r w:rsidRPr="00124DCA">
        <w:rPr>
          <w:rFonts w:cs="Arial"/>
          <w:sz w:val="22"/>
          <w:szCs w:val="22"/>
        </w:rPr>
        <w:t>L</w:t>
      </w:r>
      <w:r w:rsidR="00124DCA">
        <w:rPr>
          <w:rFonts w:cs="Arial"/>
          <w:sz w:val="22"/>
          <w:szCs w:val="22"/>
        </w:rPr>
        <w:t>evel 1</w:t>
      </w:r>
      <w:r w:rsidRPr="00124DCA">
        <w:rPr>
          <w:rFonts w:cs="Arial"/>
          <w:sz w:val="22"/>
          <w:szCs w:val="22"/>
        </w:rPr>
        <w:t xml:space="preserve"> M</w:t>
      </w:r>
      <w:r w:rsidR="00124DCA">
        <w:rPr>
          <w:rFonts w:cs="Arial"/>
          <w:sz w:val="22"/>
          <w:szCs w:val="22"/>
        </w:rPr>
        <w:t>eeting</w:t>
      </w:r>
      <w:r w:rsidRPr="00124DCA">
        <w:rPr>
          <w:rFonts w:cs="Arial"/>
          <w:sz w:val="22"/>
          <w:szCs w:val="22"/>
        </w:rPr>
        <w:t xml:space="preserve"> </w:t>
      </w:r>
      <w:r w:rsidR="009626A5">
        <w:rPr>
          <w:rFonts w:cs="Arial"/>
          <w:sz w:val="22"/>
          <w:szCs w:val="22"/>
        </w:rPr>
        <w:t>2</w:t>
      </w:r>
      <w:r w:rsidR="00221355">
        <w:rPr>
          <w:rFonts w:cs="Arial"/>
          <w:sz w:val="22"/>
          <w:szCs w:val="22"/>
        </w:rPr>
        <w:t>6</w:t>
      </w:r>
      <w:r w:rsidR="009626A5">
        <w:rPr>
          <w:rFonts w:cs="Arial"/>
          <w:sz w:val="22"/>
          <w:szCs w:val="22"/>
        </w:rPr>
        <w:t xml:space="preserve"> </w:t>
      </w:r>
      <w:r w:rsidR="00221355">
        <w:rPr>
          <w:rFonts w:cs="Arial"/>
          <w:sz w:val="22"/>
          <w:szCs w:val="22"/>
        </w:rPr>
        <w:t xml:space="preserve">March </w:t>
      </w:r>
      <w:r w:rsidR="009626A5">
        <w:rPr>
          <w:rFonts w:cs="Arial"/>
          <w:sz w:val="22"/>
          <w:szCs w:val="22"/>
        </w:rPr>
        <w:t>2019</w:t>
      </w:r>
      <w:r w:rsidR="00150DED">
        <w:rPr>
          <w:rFonts w:cs="Arial"/>
          <w:sz w:val="22"/>
          <w:szCs w:val="22"/>
        </w:rPr>
        <w:t xml:space="preserve"> at </w:t>
      </w:r>
      <w:r w:rsidR="00275197" w:rsidRPr="00124DCA">
        <w:rPr>
          <w:rFonts w:cs="Arial"/>
          <w:sz w:val="22"/>
          <w:szCs w:val="22"/>
        </w:rPr>
        <w:t>10.</w:t>
      </w:r>
      <w:r w:rsidR="00DD5C02">
        <w:rPr>
          <w:rFonts w:cs="Arial"/>
          <w:sz w:val="22"/>
          <w:szCs w:val="22"/>
        </w:rPr>
        <w:t>3</w:t>
      </w:r>
      <w:r w:rsidR="00275197" w:rsidRPr="00124DCA">
        <w:rPr>
          <w:rFonts w:cs="Arial"/>
          <w:sz w:val="22"/>
          <w:szCs w:val="22"/>
        </w:rPr>
        <w:t xml:space="preserve">0am </w:t>
      </w:r>
      <w:r w:rsidR="008D0F7E" w:rsidRPr="00124DCA">
        <w:rPr>
          <w:rFonts w:cs="Arial"/>
          <w:sz w:val="22"/>
          <w:szCs w:val="22"/>
        </w:rPr>
        <w:t>at Thames Valley Headquarters South</w:t>
      </w:r>
      <w:r w:rsidR="00994452" w:rsidRPr="00124DCA">
        <w:rPr>
          <w:rFonts w:cs="Arial"/>
          <w:sz w:val="22"/>
          <w:szCs w:val="22"/>
        </w:rPr>
        <w:t>, Conference</w:t>
      </w:r>
      <w:r w:rsidR="008D0F7E" w:rsidRPr="00124DCA">
        <w:rPr>
          <w:rFonts w:cs="Arial"/>
          <w:sz w:val="22"/>
          <w:szCs w:val="22"/>
        </w:rPr>
        <w:t xml:space="preserve"> Hall.</w:t>
      </w:r>
      <w:r w:rsidRPr="00124DCA">
        <w:rPr>
          <w:rFonts w:cs="Arial"/>
          <w:sz w:val="22"/>
          <w:szCs w:val="22"/>
        </w:rPr>
        <w:t xml:space="preserve">  </w:t>
      </w:r>
    </w:p>
    <w:sectPr w:rsidR="005D75B5" w:rsidRPr="00124DCA" w:rsidSect="00400AD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A39EE" w14:textId="77777777" w:rsidR="00CC0ECD" w:rsidRDefault="00CC0ECD" w:rsidP="0013318A">
      <w:r>
        <w:separator/>
      </w:r>
    </w:p>
  </w:endnote>
  <w:endnote w:type="continuationSeparator" w:id="0">
    <w:p w14:paraId="43E1FBE5" w14:textId="77777777" w:rsidR="00CC0ECD" w:rsidRDefault="00CC0ECD" w:rsidP="0013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E4934" w14:textId="77777777" w:rsidR="00B96564" w:rsidRDefault="00B96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068071"/>
      <w:docPartObj>
        <w:docPartGallery w:val="Page Numbers (Bottom of Page)"/>
        <w:docPartUnique/>
      </w:docPartObj>
    </w:sdtPr>
    <w:sdtEndPr>
      <w:rPr>
        <w:noProof/>
      </w:rPr>
    </w:sdtEndPr>
    <w:sdtContent>
      <w:p w14:paraId="144E17AF" w14:textId="03272FD1" w:rsidR="00B96564" w:rsidRDefault="00B96564">
        <w:pPr>
          <w:pStyle w:val="Footer"/>
          <w:jc w:val="center"/>
        </w:pPr>
        <w:r>
          <w:fldChar w:fldCharType="begin"/>
        </w:r>
        <w:r>
          <w:instrText xml:space="preserve"> PAGE   \* MERGEFORMAT </w:instrText>
        </w:r>
        <w:r>
          <w:fldChar w:fldCharType="separate"/>
        </w:r>
        <w:r w:rsidR="005B5742">
          <w:rPr>
            <w:noProof/>
          </w:rPr>
          <w:t>11</w:t>
        </w:r>
        <w:r>
          <w:rPr>
            <w:noProof/>
          </w:rPr>
          <w:fldChar w:fldCharType="end"/>
        </w:r>
      </w:p>
    </w:sdtContent>
  </w:sdt>
  <w:p w14:paraId="2DD7414F" w14:textId="77777777" w:rsidR="00B96564" w:rsidRDefault="00B965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69594" w14:textId="77777777" w:rsidR="00B96564" w:rsidRDefault="00B96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E71F6" w14:textId="77777777" w:rsidR="00CC0ECD" w:rsidRDefault="00CC0ECD" w:rsidP="0013318A">
      <w:r>
        <w:separator/>
      </w:r>
    </w:p>
  </w:footnote>
  <w:footnote w:type="continuationSeparator" w:id="0">
    <w:p w14:paraId="3E354706" w14:textId="77777777" w:rsidR="00CC0ECD" w:rsidRDefault="00CC0ECD" w:rsidP="00133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7F300" w14:textId="356119C6" w:rsidR="00B96564" w:rsidRDefault="00B96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3B317" w14:textId="5489A291" w:rsidR="00B96564" w:rsidRDefault="00B96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16EC8" w14:textId="2E0C9FF4" w:rsidR="00B96564" w:rsidRDefault="00B96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099"/>
    <w:multiLevelType w:val="hybridMultilevel"/>
    <w:tmpl w:val="244E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C1BC6"/>
    <w:multiLevelType w:val="hybridMultilevel"/>
    <w:tmpl w:val="6228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10CB2"/>
    <w:multiLevelType w:val="hybridMultilevel"/>
    <w:tmpl w:val="655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1724F"/>
    <w:multiLevelType w:val="hybridMultilevel"/>
    <w:tmpl w:val="07CC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A3A82"/>
    <w:multiLevelType w:val="hybridMultilevel"/>
    <w:tmpl w:val="B4FE2A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bCs/>
        <w:color w:val="000000"/>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F761A"/>
    <w:multiLevelType w:val="hybridMultilevel"/>
    <w:tmpl w:val="1DA4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91574"/>
    <w:multiLevelType w:val="hybridMultilevel"/>
    <w:tmpl w:val="56E022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F33EC"/>
    <w:multiLevelType w:val="hybridMultilevel"/>
    <w:tmpl w:val="7968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E6985"/>
    <w:multiLevelType w:val="hybridMultilevel"/>
    <w:tmpl w:val="A7F4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E2A52"/>
    <w:multiLevelType w:val="hybridMultilevel"/>
    <w:tmpl w:val="AA5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C7867"/>
    <w:multiLevelType w:val="hybridMultilevel"/>
    <w:tmpl w:val="C9184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D61E8D"/>
    <w:multiLevelType w:val="hybridMultilevel"/>
    <w:tmpl w:val="95CE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E67FBD"/>
    <w:multiLevelType w:val="hybridMultilevel"/>
    <w:tmpl w:val="AEA2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C62F0"/>
    <w:multiLevelType w:val="hybridMultilevel"/>
    <w:tmpl w:val="D25C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F6CD5"/>
    <w:multiLevelType w:val="hybridMultilevel"/>
    <w:tmpl w:val="5636A6F0"/>
    <w:lvl w:ilvl="0" w:tplc="CEBC8B8E">
      <w:start w:val="24"/>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827AB"/>
    <w:multiLevelType w:val="hybridMultilevel"/>
    <w:tmpl w:val="2288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36DEF"/>
    <w:multiLevelType w:val="hybridMultilevel"/>
    <w:tmpl w:val="7732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E2498"/>
    <w:multiLevelType w:val="hybridMultilevel"/>
    <w:tmpl w:val="3008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75110"/>
    <w:multiLevelType w:val="hybridMultilevel"/>
    <w:tmpl w:val="2D9E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D489B"/>
    <w:multiLevelType w:val="hybridMultilevel"/>
    <w:tmpl w:val="B0CAE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DA06E1E"/>
    <w:multiLevelType w:val="hybridMultilevel"/>
    <w:tmpl w:val="71D4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E4F4F"/>
    <w:multiLevelType w:val="hybridMultilevel"/>
    <w:tmpl w:val="8464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55018"/>
    <w:multiLevelType w:val="hybridMultilevel"/>
    <w:tmpl w:val="C9B8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2507F3"/>
    <w:multiLevelType w:val="hybridMultilevel"/>
    <w:tmpl w:val="4B9A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9813AE"/>
    <w:multiLevelType w:val="hybridMultilevel"/>
    <w:tmpl w:val="6376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660D67"/>
    <w:multiLevelType w:val="hybridMultilevel"/>
    <w:tmpl w:val="CEE0E2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4BC2F56"/>
    <w:multiLevelType w:val="hybridMultilevel"/>
    <w:tmpl w:val="7936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E94010"/>
    <w:multiLevelType w:val="hybridMultilevel"/>
    <w:tmpl w:val="D456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E43ADF"/>
    <w:multiLevelType w:val="hybridMultilevel"/>
    <w:tmpl w:val="EAB6C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9E22755"/>
    <w:multiLevelType w:val="hybridMultilevel"/>
    <w:tmpl w:val="374C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C65859"/>
    <w:multiLevelType w:val="hybridMultilevel"/>
    <w:tmpl w:val="2882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9576D9"/>
    <w:multiLevelType w:val="hybridMultilevel"/>
    <w:tmpl w:val="6F3CB518"/>
    <w:lvl w:ilvl="0" w:tplc="08090001">
      <w:start w:val="1"/>
      <w:numFmt w:val="bullet"/>
      <w:lvlText w:val=""/>
      <w:lvlJc w:val="left"/>
      <w:pPr>
        <w:tabs>
          <w:tab w:val="num" w:pos="1211"/>
        </w:tabs>
        <w:ind w:left="1211" w:hanging="360"/>
      </w:pPr>
      <w:rPr>
        <w:rFonts w:ascii="Symbol" w:hAnsi="Symbol" w:hint="default"/>
        <w:b/>
        <w:bCs/>
        <w:color w:val="00000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30E7A5B"/>
    <w:multiLevelType w:val="hybridMultilevel"/>
    <w:tmpl w:val="7AD810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6A600E"/>
    <w:multiLevelType w:val="hybridMultilevel"/>
    <w:tmpl w:val="97DC38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D96DFA"/>
    <w:multiLevelType w:val="hybridMultilevel"/>
    <w:tmpl w:val="B44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BB6303"/>
    <w:multiLevelType w:val="hybridMultilevel"/>
    <w:tmpl w:val="85AE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8C47A5"/>
    <w:multiLevelType w:val="hybridMultilevel"/>
    <w:tmpl w:val="B6EC06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B00DBE"/>
    <w:multiLevelType w:val="hybridMultilevel"/>
    <w:tmpl w:val="B7B66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C368EE"/>
    <w:multiLevelType w:val="hybridMultilevel"/>
    <w:tmpl w:val="9D82F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25241E"/>
    <w:multiLevelType w:val="hybridMultilevel"/>
    <w:tmpl w:val="8E387E78"/>
    <w:lvl w:ilvl="0" w:tplc="FFFFFFFF">
      <w:start w:val="272"/>
      <w:numFmt w:val="bullet"/>
      <w:lvlText w:val=""/>
      <w:lvlJc w:val="left"/>
      <w:pPr>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F17B0E"/>
    <w:multiLevelType w:val="hybridMultilevel"/>
    <w:tmpl w:val="EE4EC986"/>
    <w:lvl w:ilvl="0" w:tplc="502074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F9014E"/>
    <w:multiLevelType w:val="hybridMultilevel"/>
    <w:tmpl w:val="637C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122C6"/>
    <w:multiLevelType w:val="hybridMultilevel"/>
    <w:tmpl w:val="778A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C356A"/>
    <w:multiLevelType w:val="hybridMultilevel"/>
    <w:tmpl w:val="E7343BC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0C6B19"/>
    <w:multiLevelType w:val="hybridMultilevel"/>
    <w:tmpl w:val="CADAC0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7F831065"/>
    <w:multiLevelType w:val="hybridMultilevel"/>
    <w:tmpl w:val="470C0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33"/>
  </w:num>
  <w:num w:numId="3">
    <w:abstractNumId w:val="5"/>
  </w:num>
  <w:num w:numId="4">
    <w:abstractNumId w:val="43"/>
  </w:num>
  <w:num w:numId="5">
    <w:abstractNumId w:val="31"/>
  </w:num>
  <w:num w:numId="6">
    <w:abstractNumId w:val="36"/>
  </w:num>
  <w:num w:numId="7">
    <w:abstractNumId w:val="4"/>
  </w:num>
  <w:num w:numId="8">
    <w:abstractNumId w:val="32"/>
  </w:num>
  <w:num w:numId="9">
    <w:abstractNumId w:val="10"/>
  </w:num>
  <w:num w:numId="10">
    <w:abstractNumId w:val="14"/>
  </w:num>
  <w:num w:numId="11">
    <w:abstractNumId w:val="28"/>
  </w:num>
  <w:num w:numId="12">
    <w:abstractNumId w:val="39"/>
  </w:num>
  <w:num w:numId="13">
    <w:abstractNumId w:val="30"/>
  </w:num>
  <w:num w:numId="14">
    <w:abstractNumId w:val="18"/>
  </w:num>
  <w:num w:numId="15">
    <w:abstractNumId w:val="45"/>
  </w:num>
  <w:num w:numId="16">
    <w:abstractNumId w:val="0"/>
  </w:num>
  <w:num w:numId="17">
    <w:abstractNumId w:val="7"/>
  </w:num>
  <w:num w:numId="18">
    <w:abstractNumId w:val="27"/>
  </w:num>
  <w:num w:numId="19">
    <w:abstractNumId w:val="17"/>
  </w:num>
  <w:num w:numId="20">
    <w:abstractNumId w:val="6"/>
  </w:num>
  <w:num w:numId="21">
    <w:abstractNumId w:val="26"/>
  </w:num>
  <w:num w:numId="22">
    <w:abstractNumId w:val="21"/>
  </w:num>
  <w:num w:numId="23">
    <w:abstractNumId w:val="22"/>
  </w:num>
  <w:num w:numId="24">
    <w:abstractNumId w:val="12"/>
  </w:num>
  <w:num w:numId="25">
    <w:abstractNumId w:val="23"/>
  </w:num>
  <w:num w:numId="26">
    <w:abstractNumId w:val="41"/>
  </w:num>
  <w:num w:numId="27">
    <w:abstractNumId w:val="44"/>
  </w:num>
  <w:num w:numId="28">
    <w:abstractNumId w:val="11"/>
  </w:num>
  <w:num w:numId="29">
    <w:abstractNumId w:val="1"/>
  </w:num>
  <w:num w:numId="30">
    <w:abstractNumId w:val="8"/>
  </w:num>
  <w:num w:numId="31">
    <w:abstractNumId w:val="29"/>
  </w:num>
  <w:num w:numId="32">
    <w:abstractNumId w:val="15"/>
  </w:num>
  <w:num w:numId="33">
    <w:abstractNumId w:val="38"/>
  </w:num>
  <w:num w:numId="34">
    <w:abstractNumId w:val="35"/>
  </w:num>
  <w:num w:numId="35">
    <w:abstractNumId w:val="20"/>
  </w:num>
  <w:num w:numId="36">
    <w:abstractNumId w:val="40"/>
  </w:num>
  <w:num w:numId="37">
    <w:abstractNumId w:val="42"/>
  </w:num>
  <w:num w:numId="38">
    <w:abstractNumId w:val="25"/>
  </w:num>
  <w:num w:numId="39">
    <w:abstractNumId w:val="3"/>
  </w:num>
  <w:num w:numId="40">
    <w:abstractNumId w:val="37"/>
  </w:num>
  <w:num w:numId="41">
    <w:abstractNumId w:val="9"/>
  </w:num>
  <w:num w:numId="42">
    <w:abstractNumId w:val="13"/>
  </w:num>
  <w:num w:numId="43">
    <w:abstractNumId w:val="16"/>
  </w:num>
  <w:num w:numId="44">
    <w:abstractNumId w:val="34"/>
  </w:num>
  <w:num w:numId="45">
    <w:abstractNumId w:val="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3C"/>
    <w:rsid w:val="0000178D"/>
    <w:rsid w:val="00001EED"/>
    <w:rsid w:val="00005E13"/>
    <w:rsid w:val="00006443"/>
    <w:rsid w:val="0001189F"/>
    <w:rsid w:val="000126F8"/>
    <w:rsid w:val="00020AE6"/>
    <w:rsid w:val="0002145B"/>
    <w:rsid w:val="00022EA1"/>
    <w:rsid w:val="00025879"/>
    <w:rsid w:val="000263BF"/>
    <w:rsid w:val="00027C23"/>
    <w:rsid w:val="00034F65"/>
    <w:rsid w:val="0003511F"/>
    <w:rsid w:val="00037309"/>
    <w:rsid w:val="00041030"/>
    <w:rsid w:val="00042DCC"/>
    <w:rsid w:val="0004389C"/>
    <w:rsid w:val="0004467E"/>
    <w:rsid w:val="00044F00"/>
    <w:rsid w:val="00045089"/>
    <w:rsid w:val="00047D2D"/>
    <w:rsid w:val="00054AF4"/>
    <w:rsid w:val="000557AC"/>
    <w:rsid w:val="00057783"/>
    <w:rsid w:val="00064F91"/>
    <w:rsid w:val="00065D2C"/>
    <w:rsid w:val="0007405D"/>
    <w:rsid w:val="00074F12"/>
    <w:rsid w:val="00081958"/>
    <w:rsid w:val="00086443"/>
    <w:rsid w:val="000908BD"/>
    <w:rsid w:val="00092F21"/>
    <w:rsid w:val="00093886"/>
    <w:rsid w:val="000944BA"/>
    <w:rsid w:val="000A2C04"/>
    <w:rsid w:val="000A2D3A"/>
    <w:rsid w:val="000A39C2"/>
    <w:rsid w:val="000B0BCA"/>
    <w:rsid w:val="000B458A"/>
    <w:rsid w:val="000B6495"/>
    <w:rsid w:val="000D3090"/>
    <w:rsid w:val="000D557D"/>
    <w:rsid w:val="000D5780"/>
    <w:rsid w:val="000E0D45"/>
    <w:rsid w:val="000E2317"/>
    <w:rsid w:val="000E51FE"/>
    <w:rsid w:val="000F0CAE"/>
    <w:rsid w:val="001002F7"/>
    <w:rsid w:val="00101348"/>
    <w:rsid w:val="00104DBF"/>
    <w:rsid w:val="001058D6"/>
    <w:rsid w:val="00106AB6"/>
    <w:rsid w:val="00106EEB"/>
    <w:rsid w:val="001101FF"/>
    <w:rsid w:val="00112947"/>
    <w:rsid w:val="00114854"/>
    <w:rsid w:val="00121734"/>
    <w:rsid w:val="00123923"/>
    <w:rsid w:val="00124DCA"/>
    <w:rsid w:val="00127226"/>
    <w:rsid w:val="0013090B"/>
    <w:rsid w:val="00131439"/>
    <w:rsid w:val="0013318A"/>
    <w:rsid w:val="00137AAB"/>
    <w:rsid w:val="00144885"/>
    <w:rsid w:val="00147AB6"/>
    <w:rsid w:val="00150571"/>
    <w:rsid w:val="00150DED"/>
    <w:rsid w:val="00153EBB"/>
    <w:rsid w:val="00154FA9"/>
    <w:rsid w:val="00155BC3"/>
    <w:rsid w:val="00155E7B"/>
    <w:rsid w:val="001610BB"/>
    <w:rsid w:val="0016226A"/>
    <w:rsid w:val="00162D96"/>
    <w:rsid w:val="00172FD5"/>
    <w:rsid w:val="00175ECC"/>
    <w:rsid w:val="00177F2B"/>
    <w:rsid w:val="00180107"/>
    <w:rsid w:val="001856D3"/>
    <w:rsid w:val="0018781F"/>
    <w:rsid w:val="00195E89"/>
    <w:rsid w:val="0019688C"/>
    <w:rsid w:val="00197486"/>
    <w:rsid w:val="00197E08"/>
    <w:rsid w:val="001A1B33"/>
    <w:rsid w:val="001A6726"/>
    <w:rsid w:val="001B3D99"/>
    <w:rsid w:val="001B701B"/>
    <w:rsid w:val="001D4BC3"/>
    <w:rsid w:val="001D50F6"/>
    <w:rsid w:val="001E0EC9"/>
    <w:rsid w:val="001E114F"/>
    <w:rsid w:val="001E61C9"/>
    <w:rsid w:val="001F0535"/>
    <w:rsid w:val="002008E5"/>
    <w:rsid w:val="002015C6"/>
    <w:rsid w:val="00201620"/>
    <w:rsid w:val="0020296B"/>
    <w:rsid w:val="00206F77"/>
    <w:rsid w:val="0021262C"/>
    <w:rsid w:val="0021517E"/>
    <w:rsid w:val="00217B72"/>
    <w:rsid w:val="00217D0D"/>
    <w:rsid w:val="00221355"/>
    <w:rsid w:val="00222173"/>
    <w:rsid w:val="00230F23"/>
    <w:rsid w:val="00232DAE"/>
    <w:rsid w:val="00233F77"/>
    <w:rsid w:val="00234714"/>
    <w:rsid w:val="00236CBF"/>
    <w:rsid w:val="00237E2C"/>
    <w:rsid w:val="00241022"/>
    <w:rsid w:val="00243C5E"/>
    <w:rsid w:val="00243DA4"/>
    <w:rsid w:val="00247720"/>
    <w:rsid w:val="00247815"/>
    <w:rsid w:val="002502DC"/>
    <w:rsid w:val="00250B8B"/>
    <w:rsid w:val="0025352F"/>
    <w:rsid w:val="00254A5E"/>
    <w:rsid w:val="0026037B"/>
    <w:rsid w:val="00260749"/>
    <w:rsid w:val="002622BE"/>
    <w:rsid w:val="0026288B"/>
    <w:rsid w:val="00262DE5"/>
    <w:rsid w:val="00263FB7"/>
    <w:rsid w:val="002665FF"/>
    <w:rsid w:val="00267012"/>
    <w:rsid w:val="00270026"/>
    <w:rsid w:val="00273C3B"/>
    <w:rsid w:val="00275197"/>
    <w:rsid w:val="00277501"/>
    <w:rsid w:val="00281F78"/>
    <w:rsid w:val="002943F7"/>
    <w:rsid w:val="00294D88"/>
    <w:rsid w:val="00295C9B"/>
    <w:rsid w:val="002A0F33"/>
    <w:rsid w:val="002A4C2A"/>
    <w:rsid w:val="002B0930"/>
    <w:rsid w:val="002B1D43"/>
    <w:rsid w:val="002B67E8"/>
    <w:rsid w:val="002B71DC"/>
    <w:rsid w:val="002C0DE1"/>
    <w:rsid w:val="002C5BDE"/>
    <w:rsid w:val="002D0B28"/>
    <w:rsid w:val="002D2E7D"/>
    <w:rsid w:val="002D4BFA"/>
    <w:rsid w:val="002D68C4"/>
    <w:rsid w:val="002E0546"/>
    <w:rsid w:val="002E460F"/>
    <w:rsid w:val="002E6E79"/>
    <w:rsid w:val="002F6481"/>
    <w:rsid w:val="002F7435"/>
    <w:rsid w:val="00301FC8"/>
    <w:rsid w:val="003041B2"/>
    <w:rsid w:val="003049E6"/>
    <w:rsid w:val="00304AC2"/>
    <w:rsid w:val="00304E40"/>
    <w:rsid w:val="00311B20"/>
    <w:rsid w:val="00320F90"/>
    <w:rsid w:val="00322FBC"/>
    <w:rsid w:val="00324613"/>
    <w:rsid w:val="003254EA"/>
    <w:rsid w:val="003260F8"/>
    <w:rsid w:val="00330CA9"/>
    <w:rsid w:val="00333A8B"/>
    <w:rsid w:val="0033529E"/>
    <w:rsid w:val="00335F30"/>
    <w:rsid w:val="00344326"/>
    <w:rsid w:val="003444D6"/>
    <w:rsid w:val="00350D0D"/>
    <w:rsid w:val="0035725F"/>
    <w:rsid w:val="00360680"/>
    <w:rsid w:val="00361394"/>
    <w:rsid w:val="00366D58"/>
    <w:rsid w:val="00367975"/>
    <w:rsid w:val="00373AC6"/>
    <w:rsid w:val="00377695"/>
    <w:rsid w:val="00380484"/>
    <w:rsid w:val="0038270F"/>
    <w:rsid w:val="00382BA7"/>
    <w:rsid w:val="00384AE4"/>
    <w:rsid w:val="0038632C"/>
    <w:rsid w:val="003925C5"/>
    <w:rsid w:val="00392E44"/>
    <w:rsid w:val="003A047F"/>
    <w:rsid w:val="003A1112"/>
    <w:rsid w:val="003A16BB"/>
    <w:rsid w:val="003A1F2B"/>
    <w:rsid w:val="003A697B"/>
    <w:rsid w:val="003A6A1E"/>
    <w:rsid w:val="003B20A5"/>
    <w:rsid w:val="003B3F22"/>
    <w:rsid w:val="003B6592"/>
    <w:rsid w:val="003B6B60"/>
    <w:rsid w:val="003B7E3A"/>
    <w:rsid w:val="003C3CC3"/>
    <w:rsid w:val="003D0A81"/>
    <w:rsid w:val="003E4A1C"/>
    <w:rsid w:val="003E5EB2"/>
    <w:rsid w:val="003E69CB"/>
    <w:rsid w:val="003F073E"/>
    <w:rsid w:val="003F10EC"/>
    <w:rsid w:val="003F6EF3"/>
    <w:rsid w:val="00400ADC"/>
    <w:rsid w:val="004015FA"/>
    <w:rsid w:val="004030B8"/>
    <w:rsid w:val="004041E2"/>
    <w:rsid w:val="00406761"/>
    <w:rsid w:val="00406C7A"/>
    <w:rsid w:val="0041239B"/>
    <w:rsid w:val="004132CE"/>
    <w:rsid w:val="004164AA"/>
    <w:rsid w:val="00416DD9"/>
    <w:rsid w:val="00421AF6"/>
    <w:rsid w:val="00422F81"/>
    <w:rsid w:val="00424AB3"/>
    <w:rsid w:val="0042517A"/>
    <w:rsid w:val="00426799"/>
    <w:rsid w:val="00433208"/>
    <w:rsid w:val="0043356A"/>
    <w:rsid w:val="004337B5"/>
    <w:rsid w:val="00441168"/>
    <w:rsid w:val="00441B47"/>
    <w:rsid w:val="00442FA2"/>
    <w:rsid w:val="00443A8C"/>
    <w:rsid w:val="00443E93"/>
    <w:rsid w:val="00452CC0"/>
    <w:rsid w:val="004553C7"/>
    <w:rsid w:val="00460B73"/>
    <w:rsid w:val="00460BA5"/>
    <w:rsid w:val="00462DB8"/>
    <w:rsid w:val="00465B22"/>
    <w:rsid w:val="00465F94"/>
    <w:rsid w:val="00466ACF"/>
    <w:rsid w:val="00467CB4"/>
    <w:rsid w:val="004746C8"/>
    <w:rsid w:val="00475E0D"/>
    <w:rsid w:val="004817B7"/>
    <w:rsid w:val="00483229"/>
    <w:rsid w:val="004852AB"/>
    <w:rsid w:val="00495779"/>
    <w:rsid w:val="00495B5A"/>
    <w:rsid w:val="00495D1B"/>
    <w:rsid w:val="00495EF6"/>
    <w:rsid w:val="00496D07"/>
    <w:rsid w:val="00497665"/>
    <w:rsid w:val="004A0B19"/>
    <w:rsid w:val="004A29D9"/>
    <w:rsid w:val="004A3282"/>
    <w:rsid w:val="004A5874"/>
    <w:rsid w:val="004A607C"/>
    <w:rsid w:val="004A7AAF"/>
    <w:rsid w:val="004B0851"/>
    <w:rsid w:val="004B0940"/>
    <w:rsid w:val="004B138B"/>
    <w:rsid w:val="004C16D2"/>
    <w:rsid w:val="004C567E"/>
    <w:rsid w:val="004C6AED"/>
    <w:rsid w:val="004C6FBA"/>
    <w:rsid w:val="004D2B3C"/>
    <w:rsid w:val="004E1861"/>
    <w:rsid w:val="004E22DA"/>
    <w:rsid w:val="004E6003"/>
    <w:rsid w:val="004E7B0C"/>
    <w:rsid w:val="004E7BF8"/>
    <w:rsid w:val="004F1951"/>
    <w:rsid w:val="00503699"/>
    <w:rsid w:val="0050438B"/>
    <w:rsid w:val="00507173"/>
    <w:rsid w:val="005102C3"/>
    <w:rsid w:val="00512153"/>
    <w:rsid w:val="00512BA1"/>
    <w:rsid w:val="00513EEA"/>
    <w:rsid w:val="00516B65"/>
    <w:rsid w:val="00516EBD"/>
    <w:rsid w:val="00517196"/>
    <w:rsid w:val="0052056B"/>
    <w:rsid w:val="0052093E"/>
    <w:rsid w:val="00520F05"/>
    <w:rsid w:val="00521138"/>
    <w:rsid w:val="005219B0"/>
    <w:rsid w:val="005236FD"/>
    <w:rsid w:val="005270BF"/>
    <w:rsid w:val="005317EE"/>
    <w:rsid w:val="0053453C"/>
    <w:rsid w:val="00536235"/>
    <w:rsid w:val="005406F5"/>
    <w:rsid w:val="005409EA"/>
    <w:rsid w:val="00541D05"/>
    <w:rsid w:val="0054487A"/>
    <w:rsid w:val="00545769"/>
    <w:rsid w:val="005510A8"/>
    <w:rsid w:val="00560418"/>
    <w:rsid w:val="00562BF4"/>
    <w:rsid w:val="00566E9A"/>
    <w:rsid w:val="00574038"/>
    <w:rsid w:val="00575407"/>
    <w:rsid w:val="0058165D"/>
    <w:rsid w:val="00584010"/>
    <w:rsid w:val="0058652E"/>
    <w:rsid w:val="0058707D"/>
    <w:rsid w:val="005909A7"/>
    <w:rsid w:val="00590AD6"/>
    <w:rsid w:val="00593D1B"/>
    <w:rsid w:val="005962CD"/>
    <w:rsid w:val="005A1009"/>
    <w:rsid w:val="005A4C8B"/>
    <w:rsid w:val="005A6FBE"/>
    <w:rsid w:val="005A7A86"/>
    <w:rsid w:val="005B569D"/>
    <w:rsid w:val="005B5742"/>
    <w:rsid w:val="005B65D2"/>
    <w:rsid w:val="005B6BCC"/>
    <w:rsid w:val="005B6D04"/>
    <w:rsid w:val="005D0706"/>
    <w:rsid w:val="005D0A0A"/>
    <w:rsid w:val="005D17C1"/>
    <w:rsid w:val="005D2D4E"/>
    <w:rsid w:val="005D3BAF"/>
    <w:rsid w:val="005D57C0"/>
    <w:rsid w:val="005D75B5"/>
    <w:rsid w:val="005E48A5"/>
    <w:rsid w:val="005E592D"/>
    <w:rsid w:val="005F050D"/>
    <w:rsid w:val="005F10A4"/>
    <w:rsid w:val="005F1F2A"/>
    <w:rsid w:val="005F2236"/>
    <w:rsid w:val="005F2A7A"/>
    <w:rsid w:val="005F5F21"/>
    <w:rsid w:val="00604A0F"/>
    <w:rsid w:val="00610563"/>
    <w:rsid w:val="00610F89"/>
    <w:rsid w:val="006211D8"/>
    <w:rsid w:val="0062181E"/>
    <w:rsid w:val="00625DFD"/>
    <w:rsid w:val="00630A37"/>
    <w:rsid w:val="00630EF6"/>
    <w:rsid w:val="006310EC"/>
    <w:rsid w:val="006312A2"/>
    <w:rsid w:val="0063176B"/>
    <w:rsid w:val="00631B0D"/>
    <w:rsid w:val="00633174"/>
    <w:rsid w:val="00633F73"/>
    <w:rsid w:val="006366BC"/>
    <w:rsid w:val="00640C29"/>
    <w:rsid w:val="00641C9F"/>
    <w:rsid w:val="00645345"/>
    <w:rsid w:val="00646B2A"/>
    <w:rsid w:val="00651DF3"/>
    <w:rsid w:val="00652054"/>
    <w:rsid w:val="00655805"/>
    <w:rsid w:val="006577EE"/>
    <w:rsid w:val="00660E9E"/>
    <w:rsid w:val="00665226"/>
    <w:rsid w:val="00665A68"/>
    <w:rsid w:val="00665C6C"/>
    <w:rsid w:val="006709B5"/>
    <w:rsid w:val="00672E2E"/>
    <w:rsid w:val="00673998"/>
    <w:rsid w:val="006756F1"/>
    <w:rsid w:val="00680885"/>
    <w:rsid w:val="0068181F"/>
    <w:rsid w:val="006828FF"/>
    <w:rsid w:val="00683C4A"/>
    <w:rsid w:val="0068407A"/>
    <w:rsid w:val="00690B4E"/>
    <w:rsid w:val="00694E39"/>
    <w:rsid w:val="006A0512"/>
    <w:rsid w:val="006A352B"/>
    <w:rsid w:val="006A4570"/>
    <w:rsid w:val="006A4D87"/>
    <w:rsid w:val="006A5F2F"/>
    <w:rsid w:val="006B1221"/>
    <w:rsid w:val="006B31B0"/>
    <w:rsid w:val="006C24E1"/>
    <w:rsid w:val="006C66FB"/>
    <w:rsid w:val="006C7AC1"/>
    <w:rsid w:val="006D120F"/>
    <w:rsid w:val="006D4829"/>
    <w:rsid w:val="006E22E0"/>
    <w:rsid w:val="006E34F5"/>
    <w:rsid w:val="006E4545"/>
    <w:rsid w:val="006E4652"/>
    <w:rsid w:val="006E68F2"/>
    <w:rsid w:val="006F2EE8"/>
    <w:rsid w:val="006F3A0A"/>
    <w:rsid w:val="006F3B21"/>
    <w:rsid w:val="006F41B2"/>
    <w:rsid w:val="006F5164"/>
    <w:rsid w:val="006F58C1"/>
    <w:rsid w:val="006F61C6"/>
    <w:rsid w:val="006F685C"/>
    <w:rsid w:val="007004D0"/>
    <w:rsid w:val="00703908"/>
    <w:rsid w:val="0070759F"/>
    <w:rsid w:val="00707A5B"/>
    <w:rsid w:val="00710FA7"/>
    <w:rsid w:val="00714EA1"/>
    <w:rsid w:val="00721D56"/>
    <w:rsid w:val="007229C0"/>
    <w:rsid w:val="00724CFB"/>
    <w:rsid w:val="00733C08"/>
    <w:rsid w:val="007351F9"/>
    <w:rsid w:val="0074673F"/>
    <w:rsid w:val="007471E7"/>
    <w:rsid w:val="007521EA"/>
    <w:rsid w:val="0075354C"/>
    <w:rsid w:val="00754C36"/>
    <w:rsid w:val="00755FA6"/>
    <w:rsid w:val="00756AAD"/>
    <w:rsid w:val="00757517"/>
    <w:rsid w:val="00761866"/>
    <w:rsid w:val="007708D5"/>
    <w:rsid w:val="00774540"/>
    <w:rsid w:val="007761F4"/>
    <w:rsid w:val="0077631B"/>
    <w:rsid w:val="00780839"/>
    <w:rsid w:val="00781B63"/>
    <w:rsid w:val="00782550"/>
    <w:rsid w:val="007832D5"/>
    <w:rsid w:val="0078397C"/>
    <w:rsid w:val="00786C69"/>
    <w:rsid w:val="00786E1C"/>
    <w:rsid w:val="0079070D"/>
    <w:rsid w:val="007A2645"/>
    <w:rsid w:val="007A405E"/>
    <w:rsid w:val="007A627E"/>
    <w:rsid w:val="007A7AE9"/>
    <w:rsid w:val="007B2371"/>
    <w:rsid w:val="007B4BFD"/>
    <w:rsid w:val="007B4FDC"/>
    <w:rsid w:val="007B6178"/>
    <w:rsid w:val="007C234C"/>
    <w:rsid w:val="007C42ED"/>
    <w:rsid w:val="007C7A14"/>
    <w:rsid w:val="007E6538"/>
    <w:rsid w:val="007E6FD7"/>
    <w:rsid w:val="007F1830"/>
    <w:rsid w:val="007F1DC6"/>
    <w:rsid w:val="007F3CCF"/>
    <w:rsid w:val="007F4AAA"/>
    <w:rsid w:val="007F4EEE"/>
    <w:rsid w:val="00802C09"/>
    <w:rsid w:val="00811517"/>
    <w:rsid w:val="008118B6"/>
    <w:rsid w:val="00812A30"/>
    <w:rsid w:val="00812ACF"/>
    <w:rsid w:val="00813C6A"/>
    <w:rsid w:val="008159E9"/>
    <w:rsid w:val="008205BA"/>
    <w:rsid w:val="008205F6"/>
    <w:rsid w:val="008219A5"/>
    <w:rsid w:val="00825297"/>
    <w:rsid w:val="008358DE"/>
    <w:rsid w:val="0083632D"/>
    <w:rsid w:val="00842344"/>
    <w:rsid w:val="00844E1E"/>
    <w:rsid w:val="008468B0"/>
    <w:rsid w:val="00850CFD"/>
    <w:rsid w:val="008519D7"/>
    <w:rsid w:val="008575F5"/>
    <w:rsid w:val="00861997"/>
    <w:rsid w:val="00863A2E"/>
    <w:rsid w:val="00870B87"/>
    <w:rsid w:val="00874F56"/>
    <w:rsid w:val="0087666A"/>
    <w:rsid w:val="00877D05"/>
    <w:rsid w:val="008829FC"/>
    <w:rsid w:val="00884C00"/>
    <w:rsid w:val="008949BF"/>
    <w:rsid w:val="008958A6"/>
    <w:rsid w:val="00896833"/>
    <w:rsid w:val="008A2801"/>
    <w:rsid w:val="008A7139"/>
    <w:rsid w:val="008B0A7E"/>
    <w:rsid w:val="008C2016"/>
    <w:rsid w:val="008C4DB7"/>
    <w:rsid w:val="008C648B"/>
    <w:rsid w:val="008D00B7"/>
    <w:rsid w:val="008D0F7E"/>
    <w:rsid w:val="008D3A0D"/>
    <w:rsid w:val="008D5382"/>
    <w:rsid w:val="008E06D6"/>
    <w:rsid w:val="008E2AEB"/>
    <w:rsid w:val="008E570D"/>
    <w:rsid w:val="008F3B70"/>
    <w:rsid w:val="008F58D8"/>
    <w:rsid w:val="008F5CC0"/>
    <w:rsid w:val="008F654B"/>
    <w:rsid w:val="00900A3F"/>
    <w:rsid w:val="00905FDE"/>
    <w:rsid w:val="00907134"/>
    <w:rsid w:val="00907F46"/>
    <w:rsid w:val="0091022C"/>
    <w:rsid w:val="00912345"/>
    <w:rsid w:val="009205EB"/>
    <w:rsid w:val="00920E50"/>
    <w:rsid w:val="0092244F"/>
    <w:rsid w:val="00923021"/>
    <w:rsid w:val="00930244"/>
    <w:rsid w:val="00933F4F"/>
    <w:rsid w:val="00934864"/>
    <w:rsid w:val="00940CCA"/>
    <w:rsid w:val="009443D4"/>
    <w:rsid w:val="00944D3B"/>
    <w:rsid w:val="009501D4"/>
    <w:rsid w:val="0095176F"/>
    <w:rsid w:val="00953475"/>
    <w:rsid w:val="00961E81"/>
    <w:rsid w:val="009626A5"/>
    <w:rsid w:val="00965099"/>
    <w:rsid w:val="009679EE"/>
    <w:rsid w:val="00967AD8"/>
    <w:rsid w:val="009702F8"/>
    <w:rsid w:val="0097034A"/>
    <w:rsid w:val="009706D0"/>
    <w:rsid w:val="0097348B"/>
    <w:rsid w:val="0097361E"/>
    <w:rsid w:val="009759D1"/>
    <w:rsid w:val="009853E9"/>
    <w:rsid w:val="00985821"/>
    <w:rsid w:val="0098583E"/>
    <w:rsid w:val="00985D42"/>
    <w:rsid w:val="00986943"/>
    <w:rsid w:val="00986D4A"/>
    <w:rsid w:val="00987A88"/>
    <w:rsid w:val="00990AA2"/>
    <w:rsid w:val="00992204"/>
    <w:rsid w:val="0099233F"/>
    <w:rsid w:val="00994452"/>
    <w:rsid w:val="00996C65"/>
    <w:rsid w:val="009A115F"/>
    <w:rsid w:val="009A182B"/>
    <w:rsid w:val="009A1FD4"/>
    <w:rsid w:val="009A24F7"/>
    <w:rsid w:val="009A4080"/>
    <w:rsid w:val="009B0A5A"/>
    <w:rsid w:val="009B3039"/>
    <w:rsid w:val="009C133F"/>
    <w:rsid w:val="009C32EC"/>
    <w:rsid w:val="009C56EB"/>
    <w:rsid w:val="009D466F"/>
    <w:rsid w:val="009E0622"/>
    <w:rsid w:val="009E1150"/>
    <w:rsid w:val="009E1DE3"/>
    <w:rsid w:val="009E1F9B"/>
    <w:rsid w:val="009E3A59"/>
    <w:rsid w:val="009E6A10"/>
    <w:rsid w:val="009E6CED"/>
    <w:rsid w:val="009E7C69"/>
    <w:rsid w:val="009F2472"/>
    <w:rsid w:val="00A01BC6"/>
    <w:rsid w:val="00A05179"/>
    <w:rsid w:val="00A05AE9"/>
    <w:rsid w:val="00A0738C"/>
    <w:rsid w:val="00A1012E"/>
    <w:rsid w:val="00A10869"/>
    <w:rsid w:val="00A20C57"/>
    <w:rsid w:val="00A234CC"/>
    <w:rsid w:val="00A23F90"/>
    <w:rsid w:val="00A40931"/>
    <w:rsid w:val="00A4168E"/>
    <w:rsid w:val="00A50969"/>
    <w:rsid w:val="00A530C8"/>
    <w:rsid w:val="00A54111"/>
    <w:rsid w:val="00A6561E"/>
    <w:rsid w:val="00A66479"/>
    <w:rsid w:val="00A667CD"/>
    <w:rsid w:val="00A70AA4"/>
    <w:rsid w:val="00A73F87"/>
    <w:rsid w:val="00A742D0"/>
    <w:rsid w:val="00A74F36"/>
    <w:rsid w:val="00A76396"/>
    <w:rsid w:val="00A82E93"/>
    <w:rsid w:val="00A863E7"/>
    <w:rsid w:val="00A87842"/>
    <w:rsid w:val="00A90670"/>
    <w:rsid w:val="00A935D4"/>
    <w:rsid w:val="00A9523B"/>
    <w:rsid w:val="00AA4EAB"/>
    <w:rsid w:val="00AA5289"/>
    <w:rsid w:val="00AA63B7"/>
    <w:rsid w:val="00AA674B"/>
    <w:rsid w:val="00AA6AC1"/>
    <w:rsid w:val="00AA7F99"/>
    <w:rsid w:val="00AB1C9E"/>
    <w:rsid w:val="00AB466F"/>
    <w:rsid w:val="00AC019C"/>
    <w:rsid w:val="00AC169A"/>
    <w:rsid w:val="00AC1A14"/>
    <w:rsid w:val="00AC21B4"/>
    <w:rsid w:val="00AC284C"/>
    <w:rsid w:val="00AC7C19"/>
    <w:rsid w:val="00AD114B"/>
    <w:rsid w:val="00AD1FB6"/>
    <w:rsid w:val="00AD48A0"/>
    <w:rsid w:val="00AD6F21"/>
    <w:rsid w:val="00AD7AA1"/>
    <w:rsid w:val="00AD7B4A"/>
    <w:rsid w:val="00AE0A80"/>
    <w:rsid w:val="00AE0DD9"/>
    <w:rsid w:val="00AE4E19"/>
    <w:rsid w:val="00AE70A2"/>
    <w:rsid w:val="00AF599C"/>
    <w:rsid w:val="00B17AA7"/>
    <w:rsid w:val="00B204BE"/>
    <w:rsid w:val="00B2145C"/>
    <w:rsid w:val="00B219BC"/>
    <w:rsid w:val="00B22598"/>
    <w:rsid w:val="00B22CE6"/>
    <w:rsid w:val="00B2592D"/>
    <w:rsid w:val="00B31AA1"/>
    <w:rsid w:val="00B32C13"/>
    <w:rsid w:val="00B3675D"/>
    <w:rsid w:val="00B36F45"/>
    <w:rsid w:val="00B40919"/>
    <w:rsid w:val="00B427E8"/>
    <w:rsid w:val="00B52FFA"/>
    <w:rsid w:val="00B5647E"/>
    <w:rsid w:val="00B57AB2"/>
    <w:rsid w:val="00B60E1C"/>
    <w:rsid w:val="00B62B22"/>
    <w:rsid w:val="00B64768"/>
    <w:rsid w:val="00B64E14"/>
    <w:rsid w:val="00B674A7"/>
    <w:rsid w:val="00B70BAC"/>
    <w:rsid w:val="00B73C09"/>
    <w:rsid w:val="00B74D60"/>
    <w:rsid w:val="00B74E3D"/>
    <w:rsid w:val="00B823B0"/>
    <w:rsid w:val="00B82FF0"/>
    <w:rsid w:val="00B83627"/>
    <w:rsid w:val="00B83882"/>
    <w:rsid w:val="00B911C9"/>
    <w:rsid w:val="00B9406B"/>
    <w:rsid w:val="00B96372"/>
    <w:rsid w:val="00B96564"/>
    <w:rsid w:val="00BA3FF5"/>
    <w:rsid w:val="00BA55EE"/>
    <w:rsid w:val="00BB6B57"/>
    <w:rsid w:val="00BC01BA"/>
    <w:rsid w:val="00BC24B8"/>
    <w:rsid w:val="00BD3FC6"/>
    <w:rsid w:val="00BD5281"/>
    <w:rsid w:val="00BD61FF"/>
    <w:rsid w:val="00BD7F51"/>
    <w:rsid w:val="00BE235A"/>
    <w:rsid w:val="00BE3A48"/>
    <w:rsid w:val="00BE6E31"/>
    <w:rsid w:val="00BE7D12"/>
    <w:rsid w:val="00BF676C"/>
    <w:rsid w:val="00BF682C"/>
    <w:rsid w:val="00C059D2"/>
    <w:rsid w:val="00C05AE6"/>
    <w:rsid w:val="00C06A19"/>
    <w:rsid w:val="00C14FA5"/>
    <w:rsid w:val="00C15222"/>
    <w:rsid w:val="00C22721"/>
    <w:rsid w:val="00C2450E"/>
    <w:rsid w:val="00C27216"/>
    <w:rsid w:val="00C32480"/>
    <w:rsid w:val="00C3253C"/>
    <w:rsid w:val="00C3673E"/>
    <w:rsid w:val="00C414D9"/>
    <w:rsid w:val="00C4223D"/>
    <w:rsid w:val="00C44124"/>
    <w:rsid w:val="00C51103"/>
    <w:rsid w:val="00C52A9C"/>
    <w:rsid w:val="00C5362A"/>
    <w:rsid w:val="00C576C7"/>
    <w:rsid w:val="00C600DD"/>
    <w:rsid w:val="00C70BD0"/>
    <w:rsid w:val="00C71BB7"/>
    <w:rsid w:val="00C73B0F"/>
    <w:rsid w:val="00C75046"/>
    <w:rsid w:val="00C77E53"/>
    <w:rsid w:val="00C77E5B"/>
    <w:rsid w:val="00C80104"/>
    <w:rsid w:val="00C821BC"/>
    <w:rsid w:val="00C845ED"/>
    <w:rsid w:val="00C86C8B"/>
    <w:rsid w:val="00C9069B"/>
    <w:rsid w:val="00C9128A"/>
    <w:rsid w:val="00C921A2"/>
    <w:rsid w:val="00C9420E"/>
    <w:rsid w:val="00CA0543"/>
    <w:rsid w:val="00CA0A94"/>
    <w:rsid w:val="00CB03A5"/>
    <w:rsid w:val="00CB2249"/>
    <w:rsid w:val="00CB229E"/>
    <w:rsid w:val="00CB2A3B"/>
    <w:rsid w:val="00CB2B70"/>
    <w:rsid w:val="00CC0051"/>
    <w:rsid w:val="00CC0ECD"/>
    <w:rsid w:val="00CC1EC6"/>
    <w:rsid w:val="00CC3C59"/>
    <w:rsid w:val="00CD24C2"/>
    <w:rsid w:val="00CE500E"/>
    <w:rsid w:val="00CF0038"/>
    <w:rsid w:val="00CF0476"/>
    <w:rsid w:val="00CF36AD"/>
    <w:rsid w:val="00CF526E"/>
    <w:rsid w:val="00CF5DFA"/>
    <w:rsid w:val="00CF60E1"/>
    <w:rsid w:val="00D000D7"/>
    <w:rsid w:val="00D05578"/>
    <w:rsid w:val="00D110B4"/>
    <w:rsid w:val="00D16750"/>
    <w:rsid w:val="00D16D64"/>
    <w:rsid w:val="00D202A3"/>
    <w:rsid w:val="00D2210C"/>
    <w:rsid w:val="00D228F2"/>
    <w:rsid w:val="00D2382E"/>
    <w:rsid w:val="00D24828"/>
    <w:rsid w:val="00D265F1"/>
    <w:rsid w:val="00D30E7B"/>
    <w:rsid w:val="00D33496"/>
    <w:rsid w:val="00D33542"/>
    <w:rsid w:val="00D361C9"/>
    <w:rsid w:val="00D377BE"/>
    <w:rsid w:val="00D41ADD"/>
    <w:rsid w:val="00D4239F"/>
    <w:rsid w:val="00D4364A"/>
    <w:rsid w:val="00D5182E"/>
    <w:rsid w:val="00D66569"/>
    <w:rsid w:val="00D665DC"/>
    <w:rsid w:val="00D66EB3"/>
    <w:rsid w:val="00D719B9"/>
    <w:rsid w:val="00D743E5"/>
    <w:rsid w:val="00D7537D"/>
    <w:rsid w:val="00D8760B"/>
    <w:rsid w:val="00D95549"/>
    <w:rsid w:val="00D967E2"/>
    <w:rsid w:val="00D97DC5"/>
    <w:rsid w:val="00DA4E41"/>
    <w:rsid w:val="00DA651E"/>
    <w:rsid w:val="00DA68BC"/>
    <w:rsid w:val="00DB6C8F"/>
    <w:rsid w:val="00DB784E"/>
    <w:rsid w:val="00DC10B2"/>
    <w:rsid w:val="00DC2CBD"/>
    <w:rsid w:val="00DD3BEF"/>
    <w:rsid w:val="00DD5C02"/>
    <w:rsid w:val="00DE0142"/>
    <w:rsid w:val="00DE0C32"/>
    <w:rsid w:val="00DE0D10"/>
    <w:rsid w:val="00DE194C"/>
    <w:rsid w:val="00DE2A12"/>
    <w:rsid w:val="00DE79B5"/>
    <w:rsid w:val="00DE79F4"/>
    <w:rsid w:val="00DF1197"/>
    <w:rsid w:val="00DF1C27"/>
    <w:rsid w:val="00DF3115"/>
    <w:rsid w:val="00DF3786"/>
    <w:rsid w:val="00DF3D4C"/>
    <w:rsid w:val="00DF6621"/>
    <w:rsid w:val="00DF7CB3"/>
    <w:rsid w:val="00E052EB"/>
    <w:rsid w:val="00E05C2C"/>
    <w:rsid w:val="00E10691"/>
    <w:rsid w:val="00E11961"/>
    <w:rsid w:val="00E120DB"/>
    <w:rsid w:val="00E12718"/>
    <w:rsid w:val="00E131ED"/>
    <w:rsid w:val="00E15282"/>
    <w:rsid w:val="00E214A3"/>
    <w:rsid w:val="00E339F3"/>
    <w:rsid w:val="00E3475D"/>
    <w:rsid w:val="00E37F54"/>
    <w:rsid w:val="00E43009"/>
    <w:rsid w:val="00E45BDD"/>
    <w:rsid w:val="00E51DBB"/>
    <w:rsid w:val="00E5797C"/>
    <w:rsid w:val="00E62792"/>
    <w:rsid w:val="00E65B33"/>
    <w:rsid w:val="00E752CB"/>
    <w:rsid w:val="00E824B9"/>
    <w:rsid w:val="00E87574"/>
    <w:rsid w:val="00E94883"/>
    <w:rsid w:val="00E95B63"/>
    <w:rsid w:val="00E95DE6"/>
    <w:rsid w:val="00E97C00"/>
    <w:rsid w:val="00EA114B"/>
    <w:rsid w:val="00EA4AFE"/>
    <w:rsid w:val="00EA5B57"/>
    <w:rsid w:val="00EA7A84"/>
    <w:rsid w:val="00EB206A"/>
    <w:rsid w:val="00EB3386"/>
    <w:rsid w:val="00EC126F"/>
    <w:rsid w:val="00EC1CB2"/>
    <w:rsid w:val="00EC2302"/>
    <w:rsid w:val="00EC4228"/>
    <w:rsid w:val="00EC58AE"/>
    <w:rsid w:val="00ED196A"/>
    <w:rsid w:val="00ED32C4"/>
    <w:rsid w:val="00ED34EA"/>
    <w:rsid w:val="00ED57C7"/>
    <w:rsid w:val="00ED757A"/>
    <w:rsid w:val="00ED7EFF"/>
    <w:rsid w:val="00EE38CD"/>
    <w:rsid w:val="00EE483B"/>
    <w:rsid w:val="00EE6F31"/>
    <w:rsid w:val="00EF0D9E"/>
    <w:rsid w:val="00EF312D"/>
    <w:rsid w:val="00EF37C0"/>
    <w:rsid w:val="00EF3D71"/>
    <w:rsid w:val="00EF406D"/>
    <w:rsid w:val="00F057F8"/>
    <w:rsid w:val="00F0664F"/>
    <w:rsid w:val="00F0711E"/>
    <w:rsid w:val="00F0793F"/>
    <w:rsid w:val="00F12E9F"/>
    <w:rsid w:val="00F13418"/>
    <w:rsid w:val="00F15790"/>
    <w:rsid w:val="00F30547"/>
    <w:rsid w:val="00F310A7"/>
    <w:rsid w:val="00F3200F"/>
    <w:rsid w:val="00F3280C"/>
    <w:rsid w:val="00F32AD8"/>
    <w:rsid w:val="00F33722"/>
    <w:rsid w:val="00F35206"/>
    <w:rsid w:val="00F3638E"/>
    <w:rsid w:val="00F36955"/>
    <w:rsid w:val="00F411AD"/>
    <w:rsid w:val="00F42FCA"/>
    <w:rsid w:val="00F4687B"/>
    <w:rsid w:val="00F53888"/>
    <w:rsid w:val="00F53B83"/>
    <w:rsid w:val="00F614F6"/>
    <w:rsid w:val="00F6169C"/>
    <w:rsid w:val="00F61F9D"/>
    <w:rsid w:val="00F624D5"/>
    <w:rsid w:val="00F62673"/>
    <w:rsid w:val="00F62794"/>
    <w:rsid w:val="00F639F3"/>
    <w:rsid w:val="00F65458"/>
    <w:rsid w:val="00F6545F"/>
    <w:rsid w:val="00F71402"/>
    <w:rsid w:val="00F76881"/>
    <w:rsid w:val="00F77BD1"/>
    <w:rsid w:val="00F8044D"/>
    <w:rsid w:val="00F839D6"/>
    <w:rsid w:val="00F919ED"/>
    <w:rsid w:val="00F93408"/>
    <w:rsid w:val="00F97BBD"/>
    <w:rsid w:val="00FA06B5"/>
    <w:rsid w:val="00FA1D16"/>
    <w:rsid w:val="00FA2913"/>
    <w:rsid w:val="00FA56AE"/>
    <w:rsid w:val="00FA61C3"/>
    <w:rsid w:val="00FB2AF8"/>
    <w:rsid w:val="00FB32C0"/>
    <w:rsid w:val="00FC26A4"/>
    <w:rsid w:val="00FC2A6C"/>
    <w:rsid w:val="00FC54FD"/>
    <w:rsid w:val="00FC786D"/>
    <w:rsid w:val="00FD249C"/>
    <w:rsid w:val="00FD2FDD"/>
    <w:rsid w:val="00FD5D2E"/>
    <w:rsid w:val="00FE13BC"/>
    <w:rsid w:val="00FE1590"/>
    <w:rsid w:val="00FE3953"/>
    <w:rsid w:val="00FE42F7"/>
    <w:rsid w:val="00FE4E6A"/>
    <w:rsid w:val="00FE78CB"/>
    <w:rsid w:val="00FE7C33"/>
    <w:rsid w:val="00FF0B99"/>
    <w:rsid w:val="00FF40B5"/>
    <w:rsid w:val="00FF5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CC60A0"/>
  <w15:chartTrackingRefBased/>
  <w15:docId w15:val="{8A98126C-658A-404A-8C94-35D0E781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53C"/>
    <w:pPr>
      <w:overflowPunct w:val="0"/>
      <w:autoSpaceDE w:val="0"/>
      <w:autoSpaceDN w:val="0"/>
      <w:adjustRightInd w:val="0"/>
      <w:spacing w:after="0" w:line="240" w:lineRule="auto"/>
      <w:jc w:val="both"/>
    </w:pPr>
    <w:rPr>
      <w:rFonts w:eastAsia="Times New Roman" w:cs="Times New Roman"/>
      <w:szCs w:val="20"/>
      <w:lang w:eastAsia="en-GB"/>
    </w:rPr>
  </w:style>
  <w:style w:type="paragraph" w:styleId="Heading1">
    <w:name w:val="heading 1"/>
    <w:basedOn w:val="Normal"/>
    <w:next w:val="Normal"/>
    <w:link w:val="Heading1Char"/>
    <w:uiPriority w:val="9"/>
    <w:qFormat/>
    <w:rsid w:val="004C56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95DE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3453C"/>
    <w:rPr>
      <w:b/>
    </w:rPr>
  </w:style>
  <w:style w:type="character" w:customStyle="1" w:styleId="BodyTextChar">
    <w:name w:val="Body Text Char"/>
    <w:basedOn w:val="DefaultParagraphFont"/>
    <w:link w:val="BodyText"/>
    <w:semiHidden/>
    <w:rsid w:val="0053453C"/>
    <w:rPr>
      <w:rFonts w:eastAsia="Times New Roman" w:cs="Times New Roman"/>
      <w:b/>
      <w:szCs w:val="20"/>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99"/>
    <w:locked/>
    <w:rsid w:val="0053453C"/>
    <w:rPr>
      <w:rFonts w:eastAsia="Times New Roman" w:cs="Arial"/>
      <w:sz w:val="23"/>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3453C"/>
    <w:pPr>
      <w:overflowPunct/>
      <w:autoSpaceDE/>
      <w:autoSpaceDN/>
      <w:adjustRightInd/>
      <w:ind w:left="720"/>
      <w:jc w:val="left"/>
    </w:pPr>
    <w:rPr>
      <w:rFonts w:cs="Arial"/>
      <w:sz w:val="23"/>
      <w:szCs w:val="22"/>
      <w:lang w:eastAsia="en-US"/>
    </w:rPr>
  </w:style>
  <w:style w:type="paragraph" w:customStyle="1" w:styleId="Default">
    <w:name w:val="Default"/>
    <w:rsid w:val="0053453C"/>
    <w:pPr>
      <w:autoSpaceDE w:val="0"/>
      <w:autoSpaceDN w:val="0"/>
      <w:adjustRightInd w:val="0"/>
      <w:spacing w:after="0" w:line="240" w:lineRule="auto"/>
    </w:pPr>
    <w:rPr>
      <w:rFonts w:eastAsia="Calibri" w:cs="Arial"/>
      <w:color w:val="000000"/>
      <w:szCs w:val="24"/>
      <w:lang w:eastAsia="en-GB"/>
    </w:rPr>
  </w:style>
  <w:style w:type="character" w:styleId="Hyperlink">
    <w:name w:val="Hyperlink"/>
    <w:basedOn w:val="DefaultParagraphFont"/>
    <w:uiPriority w:val="99"/>
    <w:unhideWhenUsed/>
    <w:rsid w:val="0016226A"/>
    <w:rPr>
      <w:color w:val="0563C1" w:themeColor="hyperlink"/>
      <w:u w:val="single"/>
    </w:rPr>
  </w:style>
  <w:style w:type="paragraph" w:styleId="Header">
    <w:name w:val="header"/>
    <w:basedOn w:val="Normal"/>
    <w:link w:val="HeaderChar"/>
    <w:uiPriority w:val="99"/>
    <w:unhideWhenUsed/>
    <w:rsid w:val="0013318A"/>
    <w:pPr>
      <w:tabs>
        <w:tab w:val="center" w:pos="4513"/>
        <w:tab w:val="right" w:pos="9026"/>
      </w:tabs>
    </w:pPr>
  </w:style>
  <w:style w:type="character" w:customStyle="1" w:styleId="HeaderChar">
    <w:name w:val="Header Char"/>
    <w:basedOn w:val="DefaultParagraphFont"/>
    <w:link w:val="Header"/>
    <w:uiPriority w:val="99"/>
    <w:rsid w:val="0013318A"/>
    <w:rPr>
      <w:rFonts w:eastAsia="Times New Roman" w:cs="Times New Roman"/>
      <w:szCs w:val="20"/>
      <w:lang w:eastAsia="en-GB"/>
    </w:rPr>
  </w:style>
  <w:style w:type="paragraph" w:styleId="Footer">
    <w:name w:val="footer"/>
    <w:basedOn w:val="Normal"/>
    <w:link w:val="FooterChar"/>
    <w:uiPriority w:val="99"/>
    <w:unhideWhenUsed/>
    <w:rsid w:val="0013318A"/>
    <w:pPr>
      <w:tabs>
        <w:tab w:val="center" w:pos="4513"/>
        <w:tab w:val="right" w:pos="9026"/>
      </w:tabs>
    </w:pPr>
  </w:style>
  <w:style w:type="character" w:customStyle="1" w:styleId="FooterChar">
    <w:name w:val="Footer Char"/>
    <w:basedOn w:val="DefaultParagraphFont"/>
    <w:link w:val="Footer"/>
    <w:uiPriority w:val="99"/>
    <w:rsid w:val="0013318A"/>
    <w:rPr>
      <w:rFonts w:eastAsia="Times New Roman" w:cs="Times New Roman"/>
      <w:szCs w:val="20"/>
      <w:lang w:eastAsia="en-GB"/>
    </w:rPr>
  </w:style>
  <w:style w:type="paragraph" w:styleId="BalloonText">
    <w:name w:val="Balloon Text"/>
    <w:basedOn w:val="Normal"/>
    <w:link w:val="BalloonTextChar"/>
    <w:uiPriority w:val="99"/>
    <w:semiHidden/>
    <w:unhideWhenUsed/>
    <w:rsid w:val="00907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34"/>
    <w:rPr>
      <w:rFonts w:ascii="Segoe UI" w:eastAsia="Times New Roman" w:hAnsi="Segoe UI" w:cs="Segoe UI"/>
      <w:sz w:val="18"/>
      <w:szCs w:val="18"/>
      <w:lang w:eastAsia="en-GB"/>
    </w:rPr>
  </w:style>
  <w:style w:type="table" w:customStyle="1" w:styleId="TableGrid">
    <w:name w:val="TableGrid"/>
    <w:rsid w:val="00907F46"/>
    <w:pPr>
      <w:spacing w:after="0" w:line="240" w:lineRule="auto"/>
    </w:pPr>
    <w:rPr>
      <w:rFonts w:asciiTheme="minorHAnsi" w:eastAsiaTheme="minorEastAsia" w:hAnsiTheme="minorHAnsi"/>
      <w:sz w:val="22"/>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C567E"/>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912345"/>
    <w:rPr>
      <w:sz w:val="16"/>
      <w:szCs w:val="16"/>
    </w:rPr>
  </w:style>
  <w:style w:type="paragraph" w:styleId="CommentText">
    <w:name w:val="annotation text"/>
    <w:basedOn w:val="Normal"/>
    <w:link w:val="CommentTextChar"/>
    <w:uiPriority w:val="99"/>
    <w:semiHidden/>
    <w:unhideWhenUsed/>
    <w:rsid w:val="00912345"/>
    <w:rPr>
      <w:sz w:val="20"/>
    </w:rPr>
  </w:style>
  <w:style w:type="character" w:customStyle="1" w:styleId="CommentTextChar">
    <w:name w:val="Comment Text Char"/>
    <w:basedOn w:val="DefaultParagraphFont"/>
    <w:link w:val="CommentText"/>
    <w:uiPriority w:val="99"/>
    <w:semiHidden/>
    <w:rsid w:val="00912345"/>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12345"/>
    <w:rPr>
      <w:b/>
      <w:bCs/>
    </w:rPr>
  </w:style>
  <w:style w:type="character" w:customStyle="1" w:styleId="CommentSubjectChar">
    <w:name w:val="Comment Subject Char"/>
    <w:basedOn w:val="CommentTextChar"/>
    <w:link w:val="CommentSubject"/>
    <w:uiPriority w:val="99"/>
    <w:semiHidden/>
    <w:rsid w:val="00912345"/>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E95DE6"/>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043F0-8681-4E35-8FC6-4B498F48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FF5D58FB</Template>
  <TotalTime>0</TotalTime>
  <Pages>11</Pages>
  <Words>5427</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36289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Graham</dc:creator>
  <cp:keywords/>
  <dc:description/>
  <cp:lastModifiedBy>Roberts Charlotte</cp:lastModifiedBy>
  <cp:revision>2</cp:revision>
  <cp:lastPrinted>2018-08-31T13:00:00Z</cp:lastPrinted>
  <dcterms:created xsi:type="dcterms:W3CDTF">2019-03-08T12:24:00Z</dcterms:created>
  <dcterms:modified xsi:type="dcterms:W3CDTF">2019-03-08T12:24:00Z</dcterms:modified>
</cp:coreProperties>
</file>