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ADD9" w14:textId="3B75E344" w:rsidR="00640C29" w:rsidRPr="00BD61FF" w:rsidRDefault="0053453C" w:rsidP="004A3282">
      <w:pPr>
        <w:pStyle w:val="Heading1"/>
        <w:ind w:left="720" w:hanging="720"/>
        <w:jc w:val="center"/>
        <w:rPr>
          <w:rFonts w:ascii="Arial" w:hAnsi="Arial" w:cs="Arial"/>
          <w:b/>
          <w:color w:val="auto"/>
          <w:sz w:val="22"/>
          <w:szCs w:val="22"/>
        </w:rPr>
      </w:pPr>
      <w:bookmarkStart w:id="0" w:name="_GoBack"/>
      <w:bookmarkEnd w:id="0"/>
      <w:r w:rsidRPr="00BD61FF">
        <w:rPr>
          <w:rFonts w:ascii="Arial" w:hAnsi="Arial" w:cs="Arial"/>
          <w:b/>
          <w:color w:val="auto"/>
          <w:sz w:val="22"/>
          <w:szCs w:val="22"/>
        </w:rPr>
        <w:t>POLICE</w:t>
      </w:r>
      <w:r w:rsidR="001D50F6" w:rsidRPr="00BD61FF">
        <w:rPr>
          <w:rFonts w:ascii="Arial" w:hAnsi="Arial" w:cs="Arial"/>
          <w:b/>
          <w:color w:val="auto"/>
          <w:sz w:val="22"/>
          <w:szCs w:val="22"/>
        </w:rPr>
        <w:t xml:space="preserve"> &amp;</w:t>
      </w:r>
      <w:r w:rsidRPr="00BD61FF">
        <w:rPr>
          <w:rFonts w:ascii="Arial" w:hAnsi="Arial" w:cs="Arial"/>
          <w:b/>
          <w:color w:val="auto"/>
          <w:sz w:val="22"/>
          <w:szCs w:val="22"/>
        </w:rPr>
        <w:t xml:space="preserve"> CRIME COMMISSIONER FOR THAMES VALLEY</w:t>
      </w:r>
    </w:p>
    <w:p w14:paraId="4BBB2C81" w14:textId="365D4A38" w:rsidR="00640C29" w:rsidRDefault="0053453C" w:rsidP="00640C29">
      <w:pPr>
        <w:jc w:val="center"/>
        <w:rPr>
          <w:b/>
          <w:sz w:val="22"/>
          <w:szCs w:val="22"/>
        </w:rPr>
      </w:pPr>
      <w:r w:rsidRPr="002C0DE1">
        <w:rPr>
          <w:b/>
          <w:sz w:val="22"/>
          <w:szCs w:val="22"/>
        </w:rPr>
        <w:t xml:space="preserve">MINUTES OF THE LEVEL 1 MEETING HELD </w:t>
      </w:r>
      <w:r w:rsidR="00D743E5">
        <w:rPr>
          <w:b/>
          <w:sz w:val="22"/>
          <w:szCs w:val="22"/>
        </w:rPr>
        <w:t xml:space="preserve">IN THE CONFERENCE ROOM, </w:t>
      </w:r>
      <w:r w:rsidRPr="002C0DE1">
        <w:rPr>
          <w:b/>
          <w:sz w:val="22"/>
          <w:szCs w:val="22"/>
        </w:rPr>
        <w:t>POLICE HEADQU</w:t>
      </w:r>
      <w:r w:rsidR="00AC284C" w:rsidRPr="002C0DE1">
        <w:rPr>
          <w:b/>
          <w:sz w:val="22"/>
          <w:szCs w:val="22"/>
        </w:rPr>
        <w:t>ARTERS, KIDLINGTON</w:t>
      </w:r>
      <w:r w:rsidR="00640C29">
        <w:rPr>
          <w:b/>
          <w:sz w:val="22"/>
          <w:szCs w:val="22"/>
        </w:rPr>
        <w:t>, OXON</w:t>
      </w:r>
      <w:r w:rsidR="00AC284C" w:rsidRPr="002C0DE1">
        <w:rPr>
          <w:b/>
          <w:sz w:val="22"/>
          <w:szCs w:val="22"/>
        </w:rPr>
        <w:t xml:space="preserve"> </w:t>
      </w:r>
    </w:p>
    <w:p w14:paraId="09A5B37D" w14:textId="6EE7A3DB" w:rsidR="0053453C" w:rsidRPr="002C0DE1" w:rsidRDefault="00BC24B8" w:rsidP="00640C29">
      <w:pPr>
        <w:jc w:val="center"/>
        <w:rPr>
          <w:b/>
          <w:sz w:val="22"/>
          <w:szCs w:val="22"/>
        </w:rPr>
      </w:pPr>
      <w:r>
        <w:rPr>
          <w:b/>
          <w:sz w:val="22"/>
          <w:szCs w:val="22"/>
          <w:u w:val="single"/>
        </w:rPr>
        <w:t>2</w:t>
      </w:r>
      <w:r w:rsidR="005C16F3">
        <w:rPr>
          <w:b/>
          <w:sz w:val="22"/>
          <w:szCs w:val="22"/>
          <w:u w:val="single"/>
        </w:rPr>
        <w:t>6</w:t>
      </w:r>
      <w:r>
        <w:rPr>
          <w:b/>
          <w:sz w:val="22"/>
          <w:szCs w:val="22"/>
          <w:u w:val="single"/>
        </w:rPr>
        <w:t xml:space="preserve"> </w:t>
      </w:r>
      <w:r w:rsidR="005C16F3">
        <w:rPr>
          <w:b/>
          <w:sz w:val="22"/>
          <w:szCs w:val="22"/>
          <w:u w:val="single"/>
        </w:rPr>
        <w:t xml:space="preserve">MARCH </w:t>
      </w:r>
      <w:r>
        <w:rPr>
          <w:b/>
          <w:sz w:val="22"/>
          <w:szCs w:val="22"/>
          <w:u w:val="single"/>
        </w:rPr>
        <w:t xml:space="preserve">2019 </w:t>
      </w:r>
      <w:r w:rsidR="0053453C" w:rsidRPr="00640C29">
        <w:rPr>
          <w:b/>
          <w:sz w:val="22"/>
          <w:szCs w:val="22"/>
          <w:u w:val="single"/>
        </w:rPr>
        <w:t xml:space="preserve">COMMENCING AT </w:t>
      </w:r>
      <w:r w:rsidR="00150DED">
        <w:rPr>
          <w:b/>
          <w:sz w:val="22"/>
          <w:szCs w:val="22"/>
          <w:u w:val="single"/>
        </w:rPr>
        <w:t>10.3</w:t>
      </w:r>
      <w:r w:rsidR="00D743E5" w:rsidRPr="00640C29">
        <w:rPr>
          <w:b/>
          <w:sz w:val="22"/>
          <w:szCs w:val="22"/>
          <w:u w:val="single"/>
        </w:rPr>
        <w:t>0AM</w:t>
      </w:r>
      <w:r w:rsidR="00AC284C" w:rsidRPr="00640C29">
        <w:rPr>
          <w:b/>
          <w:sz w:val="22"/>
          <w:szCs w:val="22"/>
          <w:u w:val="single"/>
        </w:rPr>
        <w:t xml:space="preserve"> AND CONCLUD</w:t>
      </w:r>
      <w:r w:rsidR="00640C29" w:rsidRPr="00640C29">
        <w:rPr>
          <w:b/>
          <w:sz w:val="22"/>
          <w:szCs w:val="22"/>
          <w:u w:val="single"/>
        </w:rPr>
        <w:t>ING</w:t>
      </w:r>
      <w:r w:rsidR="00AC284C" w:rsidRPr="00640C29">
        <w:rPr>
          <w:b/>
          <w:sz w:val="22"/>
          <w:szCs w:val="22"/>
          <w:u w:val="single"/>
        </w:rPr>
        <w:t xml:space="preserve"> AT</w:t>
      </w:r>
      <w:r w:rsidR="00B17628">
        <w:rPr>
          <w:b/>
          <w:sz w:val="22"/>
          <w:szCs w:val="22"/>
          <w:u w:val="single"/>
        </w:rPr>
        <w:t xml:space="preserve"> 12.25 </w:t>
      </w:r>
      <w:r w:rsidR="00150DED">
        <w:rPr>
          <w:b/>
          <w:sz w:val="22"/>
          <w:szCs w:val="22"/>
          <w:u w:val="single"/>
        </w:rPr>
        <w:t>PM</w:t>
      </w:r>
    </w:p>
    <w:p w14:paraId="34E37C7B" w14:textId="77777777" w:rsidR="0053453C" w:rsidRPr="002C0DE1" w:rsidRDefault="0053453C" w:rsidP="0053453C">
      <w:pPr>
        <w:pStyle w:val="BodyText"/>
        <w:rPr>
          <w:sz w:val="22"/>
          <w:szCs w:val="22"/>
        </w:rPr>
      </w:pPr>
    </w:p>
    <w:p w14:paraId="162B4BC2" w14:textId="77777777" w:rsidR="0053453C" w:rsidRPr="002C0DE1" w:rsidRDefault="0053453C" w:rsidP="00716C89">
      <w:pPr>
        <w:pStyle w:val="BodyText"/>
        <w:rPr>
          <w:sz w:val="22"/>
          <w:szCs w:val="22"/>
        </w:rPr>
      </w:pPr>
      <w:r w:rsidRPr="002C0DE1">
        <w:rPr>
          <w:sz w:val="22"/>
          <w:szCs w:val="22"/>
        </w:rPr>
        <w:t>Present:</w:t>
      </w:r>
    </w:p>
    <w:p w14:paraId="1606197C" w14:textId="37C6D0AD" w:rsidR="0053453C" w:rsidRPr="00DA651E" w:rsidRDefault="0053453C" w:rsidP="00716C89">
      <w:pPr>
        <w:pStyle w:val="BodyText"/>
        <w:rPr>
          <w:b w:val="0"/>
          <w:sz w:val="22"/>
          <w:szCs w:val="22"/>
        </w:rPr>
      </w:pPr>
      <w:r w:rsidRPr="00DA651E">
        <w:rPr>
          <w:b w:val="0"/>
          <w:sz w:val="22"/>
          <w:szCs w:val="22"/>
        </w:rPr>
        <w:t>A Stansfeld (</w:t>
      </w:r>
      <w:r w:rsidR="00DA651E" w:rsidRPr="00DA651E">
        <w:rPr>
          <w:b w:val="0"/>
          <w:sz w:val="22"/>
          <w:szCs w:val="22"/>
        </w:rPr>
        <w:t>Chair and</w:t>
      </w:r>
      <w:r w:rsidR="002008E5" w:rsidRPr="00DA651E">
        <w:rPr>
          <w:b w:val="0"/>
          <w:sz w:val="22"/>
          <w:szCs w:val="22"/>
        </w:rPr>
        <w:t xml:space="preserve"> </w:t>
      </w:r>
      <w:r w:rsidRPr="00DA651E">
        <w:rPr>
          <w:b w:val="0"/>
          <w:sz w:val="22"/>
          <w:szCs w:val="22"/>
        </w:rPr>
        <w:t xml:space="preserve">Police </w:t>
      </w:r>
      <w:r w:rsidR="001D50F6" w:rsidRPr="00DA651E">
        <w:rPr>
          <w:b w:val="0"/>
          <w:sz w:val="22"/>
          <w:szCs w:val="22"/>
        </w:rPr>
        <w:t>&amp;</w:t>
      </w:r>
      <w:r w:rsidRPr="00DA651E">
        <w:rPr>
          <w:b w:val="0"/>
          <w:sz w:val="22"/>
          <w:szCs w:val="22"/>
        </w:rPr>
        <w:t xml:space="preserve"> Crime Commissioner)</w:t>
      </w:r>
      <w:r w:rsidR="00C73B0F" w:rsidRPr="00DA651E">
        <w:rPr>
          <w:b w:val="0"/>
          <w:sz w:val="22"/>
          <w:szCs w:val="22"/>
        </w:rPr>
        <w:t xml:space="preserve"> (OPCC)</w:t>
      </w:r>
    </w:p>
    <w:p w14:paraId="030C72E2" w14:textId="77777777" w:rsidR="0053453C" w:rsidRPr="00DA651E" w:rsidRDefault="0053453C" w:rsidP="00716C89">
      <w:pPr>
        <w:pStyle w:val="BodyText"/>
        <w:rPr>
          <w:b w:val="0"/>
          <w:sz w:val="22"/>
          <w:szCs w:val="22"/>
        </w:rPr>
      </w:pPr>
    </w:p>
    <w:p w14:paraId="0F9FEA7F" w14:textId="77777777" w:rsidR="0053453C" w:rsidRPr="00DA651E" w:rsidRDefault="0053453C" w:rsidP="00716C89">
      <w:pPr>
        <w:pStyle w:val="BodyText"/>
        <w:rPr>
          <w:sz w:val="22"/>
          <w:szCs w:val="22"/>
        </w:rPr>
      </w:pPr>
      <w:r w:rsidRPr="00DA651E">
        <w:rPr>
          <w:sz w:val="22"/>
          <w:szCs w:val="22"/>
        </w:rPr>
        <w:t>Chief Officers present:</w:t>
      </w:r>
    </w:p>
    <w:p w14:paraId="0B204923" w14:textId="5D721297" w:rsidR="00D743E5" w:rsidRPr="00DA651E" w:rsidRDefault="00D743E5" w:rsidP="00716C89">
      <w:pPr>
        <w:pStyle w:val="BodyText"/>
        <w:rPr>
          <w:b w:val="0"/>
          <w:sz w:val="22"/>
          <w:szCs w:val="22"/>
        </w:rPr>
      </w:pPr>
      <w:r w:rsidRPr="00DA651E">
        <w:rPr>
          <w:b w:val="0"/>
          <w:sz w:val="22"/>
          <w:szCs w:val="22"/>
        </w:rPr>
        <w:t>J Campbell (Deputy Chief Constable)</w:t>
      </w:r>
      <w:r w:rsidR="0097034A" w:rsidRPr="00DA651E">
        <w:rPr>
          <w:b w:val="0"/>
          <w:sz w:val="22"/>
          <w:szCs w:val="22"/>
        </w:rPr>
        <w:t xml:space="preserve"> (TVP)</w:t>
      </w:r>
    </w:p>
    <w:p w14:paraId="5719EB6A" w14:textId="77777777" w:rsidR="00905FDE" w:rsidRPr="00DA651E" w:rsidRDefault="00905FDE" w:rsidP="00716C89">
      <w:pPr>
        <w:pStyle w:val="BodyText"/>
        <w:rPr>
          <w:b w:val="0"/>
          <w:sz w:val="22"/>
          <w:szCs w:val="22"/>
        </w:rPr>
      </w:pPr>
      <w:r w:rsidRPr="00DA651E">
        <w:rPr>
          <w:b w:val="0"/>
          <w:sz w:val="22"/>
          <w:szCs w:val="22"/>
        </w:rPr>
        <w:t>M Barber (Deputy Police &amp; Crime Commissioner) (OPCC)</w:t>
      </w:r>
    </w:p>
    <w:p w14:paraId="113E9088" w14:textId="77777777" w:rsidR="002D0B28" w:rsidRPr="00DA651E" w:rsidRDefault="002D0B28" w:rsidP="00716C89">
      <w:pPr>
        <w:pStyle w:val="BodyText"/>
        <w:rPr>
          <w:b w:val="0"/>
          <w:sz w:val="22"/>
          <w:szCs w:val="22"/>
        </w:rPr>
      </w:pPr>
      <w:r w:rsidRPr="00DA651E">
        <w:rPr>
          <w:b w:val="0"/>
          <w:sz w:val="22"/>
          <w:szCs w:val="22"/>
        </w:rPr>
        <w:t>P Hammond (Chief Executive) (OPCC)</w:t>
      </w:r>
    </w:p>
    <w:p w14:paraId="7F4FCF8E" w14:textId="77777777" w:rsidR="00AC284C" w:rsidRPr="00DA651E" w:rsidRDefault="00EA7A84" w:rsidP="00716C89">
      <w:pPr>
        <w:pStyle w:val="BodyText"/>
        <w:rPr>
          <w:b w:val="0"/>
          <w:sz w:val="22"/>
          <w:szCs w:val="22"/>
        </w:rPr>
      </w:pPr>
      <w:r w:rsidRPr="00DA651E">
        <w:rPr>
          <w:b w:val="0"/>
          <w:sz w:val="22"/>
          <w:szCs w:val="22"/>
        </w:rPr>
        <w:t>L Waters (</w:t>
      </w:r>
      <w:r w:rsidR="00AC284C" w:rsidRPr="00DA651E">
        <w:rPr>
          <w:b w:val="0"/>
          <w:sz w:val="22"/>
          <w:szCs w:val="22"/>
        </w:rPr>
        <w:t>Director of Finance</w:t>
      </w:r>
      <w:r w:rsidRPr="00DA651E">
        <w:rPr>
          <w:b w:val="0"/>
          <w:sz w:val="22"/>
          <w:szCs w:val="22"/>
        </w:rPr>
        <w:t>)</w:t>
      </w:r>
      <w:r w:rsidR="00AC284C" w:rsidRPr="00DA651E">
        <w:rPr>
          <w:b w:val="0"/>
          <w:sz w:val="22"/>
          <w:szCs w:val="22"/>
        </w:rPr>
        <w:t xml:space="preserve"> </w:t>
      </w:r>
      <w:r w:rsidRPr="00DA651E">
        <w:rPr>
          <w:b w:val="0"/>
          <w:sz w:val="22"/>
          <w:szCs w:val="22"/>
        </w:rPr>
        <w:t>(TVP)</w:t>
      </w:r>
    </w:p>
    <w:p w14:paraId="33DA6AD4" w14:textId="77777777" w:rsidR="0053453C" w:rsidRDefault="00EA7A84" w:rsidP="00716C89">
      <w:pPr>
        <w:pStyle w:val="BodyText"/>
        <w:rPr>
          <w:b w:val="0"/>
          <w:sz w:val="22"/>
          <w:szCs w:val="22"/>
        </w:rPr>
      </w:pPr>
      <w:r w:rsidRPr="00DA651E">
        <w:rPr>
          <w:b w:val="0"/>
          <w:sz w:val="22"/>
          <w:szCs w:val="22"/>
        </w:rPr>
        <w:t>I Thompson (</w:t>
      </w:r>
      <w:r w:rsidR="0053453C" w:rsidRPr="00DA651E">
        <w:rPr>
          <w:b w:val="0"/>
          <w:sz w:val="22"/>
          <w:szCs w:val="22"/>
        </w:rPr>
        <w:t>Chief Finance Officer</w:t>
      </w:r>
      <w:r w:rsidR="0026288B" w:rsidRPr="00DA651E">
        <w:rPr>
          <w:b w:val="0"/>
          <w:sz w:val="22"/>
          <w:szCs w:val="22"/>
        </w:rPr>
        <w:t xml:space="preserve"> </w:t>
      </w:r>
      <w:r w:rsidRPr="00DA651E">
        <w:rPr>
          <w:b w:val="0"/>
          <w:sz w:val="22"/>
          <w:szCs w:val="22"/>
        </w:rPr>
        <w:t>&amp;</w:t>
      </w:r>
      <w:r w:rsidR="0026288B" w:rsidRPr="00DA651E">
        <w:rPr>
          <w:b w:val="0"/>
          <w:sz w:val="22"/>
          <w:szCs w:val="22"/>
        </w:rPr>
        <w:t xml:space="preserve"> Deputy Chief Executive</w:t>
      </w:r>
      <w:r w:rsidRPr="00DA651E">
        <w:rPr>
          <w:b w:val="0"/>
          <w:sz w:val="22"/>
          <w:szCs w:val="22"/>
        </w:rPr>
        <w:t>) (OPCC)</w:t>
      </w:r>
    </w:p>
    <w:p w14:paraId="70E9EC77" w14:textId="300E092D" w:rsidR="00C73B0F" w:rsidRDefault="005C16F3" w:rsidP="00716C89">
      <w:pPr>
        <w:pStyle w:val="BodyText"/>
        <w:rPr>
          <w:b w:val="0"/>
          <w:sz w:val="22"/>
          <w:szCs w:val="22"/>
        </w:rPr>
      </w:pPr>
      <w:r>
        <w:rPr>
          <w:b w:val="0"/>
          <w:sz w:val="22"/>
          <w:szCs w:val="22"/>
        </w:rPr>
        <w:t>C Hemmings (Head of Governance) (TVP)</w:t>
      </w:r>
    </w:p>
    <w:p w14:paraId="7DEAAD58" w14:textId="26E83D92" w:rsidR="005C16F3" w:rsidRDefault="005C16F3" w:rsidP="00716C89">
      <w:pPr>
        <w:pStyle w:val="BodyText"/>
        <w:rPr>
          <w:b w:val="0"/>
          <w:sz w:val="22"/>
          <w:szCs w:val="22"/>
        </w:rPr>
      </w:pPr>
      <w:r>
        <w:rPr>
          <w:b w:val="0"/>
          <w:sz w:val="22"/>
          <w:szCs w:val="22"/>
        </w:rPr>
        <w:t>M Winkler (Corporate Governance Officer) (TVP)</w:t>
      </w:r>
    </w:p>
    <w:p w14:paraId="065BC9A3" w14:textId="77777777" w:rsidR="005C16F3" w:rsidRPr="00DA651E" w:rsidRDefault="005C16F3" w:rsidP="00716C89">
      <w:pPr>
        <w:pStyle w:val="BodyText"/>
        <w:rPr>
          <w:b w:val="0"/>
          <w:sz w:val="22"/>
          <w:szCs w:val="22"/>
        </w:rPr>
      </w:pPr>
    </w:p>
    <w:p w14:paraId="4EF5656A" w14:textId="3F2E64D9" w:rsidR="00C73B0F" w:rsidRPr="00DA651E" w:rsidRDefault="00C73B0F" w:rsidP="00716C89">
      <w:pPr>
        <w:pStyle w:val="BodyText"/>
        <w:tabs>
          <w:tab w:val="left" w:pos="8340"/>
        </w:tabs>
        <w:rPr>
          <w:sz w:val="22"/>
          <w:szCs w:val="22"/>
        </w:rPr>
      </w:pPr>
      <w:r w:rsidRPr="00DA651E">
        <w:rPr>
          <w:sz w:val="22"/>
          <w:szCs w:val="22"/>
        </w:rPr>
        <w:t xml:space="preserve">Present: </w:t>
      </w:r>
      <w:r w:rsidR="005B5742">
        <w:rPr>
          <w:sz w:val="22"/>
          <w:szCs w:val="22"/>
        </w:rPr>
        <w:tab/>
      </w:r>
    </w:p>
    <w:p w14:paraId="0449BB4A" w14:textId="70432475" w:rsidR="00C73B0F" w:rsidRPr="00DA651E" w:rsidRDefault="00C73B0F" w:rsidP="00716C89">
      <w:pPr>
        <w:pStyle w:val="BodyText"/>
        <w:rPr>
          <w:b w:val="0"/>
          <w:sz w:val="22"/>
          <w:szCs w:val="22"/>
        </w:rPr>
      </w:pPr>
      <w:r w:rsidRPr="00DA651E">
        <w:rPr>
          <w:b w:val="0"/>
          <w:sz w:val="22"/>
          <w:szCs w:val="22"/>
        </w:rPr>
        <w:t>C Roberts (Executive Assistant to the PCC/DPCC</w:t>
      </w:r>
      <w:r w:rsidR="005B569D" w:rsidRPr="00DA651E">
        <w:rPr>
          <w:b w:val="0"/>
          <w:sz w:val="22"/>
          <w:szCs w:val="22"/>
        </w:rPr>
        <w:t xml:space="preserve">) - </w:t>
      </w:r>
      <w:r w:rsidR="00400ADC" w:rsidRPr="00DA651E">
        <w:rPr>
          <w:b w:val="0"/>
          <w:sz w:val="22"/>
          <w:szCs w:val="22"/>
        </w:rPr>
        <w:t>Minutes</w:t>
      </w:r>
      <w:r w:rsidRPr="00DA651E">
        <w:rPr>
          <w:b w:val="0"/>
          <w:sz w:val="22"/>
          <w:szCs w:val="22"/>
        </w:rPr>
        <w:t xml:space="preserve"> (OPCC)</w:t>
      </w:r>
    </w:p>
    <w:p w14:paraId="5D4124C0" w14:textId="77777777" w:rsidR="0053453C" w:rsidRPr="00BC24B8" w:rsidRDefault="0053453C" w:rsidP="00716C89">
      <w:pPr>
        <w:pStyle w:val="BodyText"/>
        <w:rPr>
          <w:b w:val="0"/>
          <w:sz w:val="22"/>
          <w:szCs w:val="22"/>
        </w:rPr>
      </w:pPr>
    </w:p>
    <w:p w14:paraId="6BBD2EA5" w14:textId="77777777" w:rsidR="00150DED" w:rsidRPr="00BC24B8" w:rsidRDefault="0053453C" w:rsidP="00716C89">
      <w:pPr>
        <w:pStyle w:val="BodyText"/>
        <w:rPr>
          <w:b w:val="0"/>
          <w:sz w:val="22"/>
          <w:szCs w:val="22"/>
        </w:rPr>
      </w:pPr>
      <w:r w:rsidRPr="00BC24B8">
        <w:rPr>
          <w:sz w:val="22"/>
          <w:szCs w:val="22"/>
        </w:rPr>
        <w:t>Apologies:</w:t>
      </w:r>
      <w:r w:rsidR="00154FA9" w:rsidRPr="00BC24B8">
        <w:rPr>
          <w:sz w:val="22"/>
          <w:szCs w:val="22"/>
        </w:rPr>
        <w:t xml:space="preserve"> </w:t>
      </w:r>
    </w:p>
    <w:p w14:paraId="27129BB7" w14:textId="77777777" w:rsidR="005C16F3" w:rsidRPr="00DA651E" w:rsidRDefault="005C16F3" w:rsidP="00716C89">
      <w:pPr>
        <w:pStyle w:val="BodyText"/>
        <w:rPr>
          <w:sz w:val="22"/>
          <w:szCs w:val="22"/>
        </w:rPr>
      </w:pPr>
      <w:r w:rsidRPr="00DA651E">
        <w:rPr>
          <w:b w:val="0"/>
          <w:sz w:val="22"/>
          <w:szCs w:val="22"/>
        </w:rPr>
        <w:t>F Habgood (Chief Constable)</w:t>
      </w:r>
      <w:r w:rsidRPr="00DA651E">
        <w:rPr>
          <w:sz w:val="22"/>
          <w:szCs w:val="22"/>
        </w:rPr>
        <w:t xml:space="preserve"> </w:t>
      </w:r>
      <w:r w:rsidRPr="00DA651E">
        <w:rPr>
          <w:b w:val="0"/>
          <w:sz w:val="22"/>
          <w:szCs w:val="22"/>
        </w:rPr>
        <w:t>(TVP)</w:t>
      </w:r>
    </w:p>
    <w:p w14:paraId="0B606D70" w14:textId="0FEC7900" w:rsidR="00EB206A" w:rsidRPr="00BC24B8" w:rsidRDefault="00BC24B8" w:rsidP="00716C89">
      <w:pPr>
        <w:pStyle w:val="BodyText"/>
        <w:rPr>
          <w:sz w:val="22"/>
          <w:szCs w:val="22"/>
        </w:rPr>
      </w:pPr>
      <w:r w:rsidRPr="00BC24B8">
        <w:rPr>
          <w:b w:val="0"/>
          <w:sz w:val="22"/>
          <w:szCs w:val="22"/>
        </w:rPr>
        <w:t xml:space="preserve">Christine Kirby </w:t>
      </w:r>
      <w:r w:rsidR="005C16F3">
        <w:rPr>
          <w:b w:val="0"/>
          <w:sz w:val="22"/>
          <w:szCs w:val="22"/>
        </w:rPr>
        <w:t>(TVP)</w:t>
      </w:r>
    </w:p>
    <w:p w14:paraId="2B67CAE3" w14:textId="53B352D9" w:rsidR="00EA7A84" w:rsidRPr="002C0DE1" w:rsidRDefault="00EA7A84" w:rsidP="00716C89">
      <w:pPr>
        <w:pStyle w:val="BodyText"/>
        <w:rPr>
          <w:b w:val="0"/>
          <w:sz w:val="22"/>
          <w:szCs w:val="22"/>
          <w:u w:val="single"/>
        </w:rPr>
      </w:pP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r w:rsidRPr="002C0DE1">
        <w:rPr>
          <w:b w:val="0"/>
          <w:sz w:val="22"/>
          <w:szCs w:val="22"/>
          <w:u w:val="single"/>
        </w:rPr>
        <w:tab/>
      </w:r>
    </w:p>
    <w:p w14:paraId="47DF35AA" w14:textId="77777777" w:rsidR="0053453C" w:rsidRPr="002C0DE1" w:rsidRDefault="0053453C" w:rsidP="00716C89">
      <w:pPr>
        <w:pStyle w:val="BodyText"/>
        <w:rPr>
          <w:b w:val="0"/>
          <w:sz w:val="22"/>
          <w:szCs w:val="22"/>
        </w:rPr>
      </w:pPr>
    </w:p>
    <w:p w14:paraId="583F20E2" w14:textId="063558C7" w:rsidR="00C15222" w:rsidRDefault="00C15222" w:rsidP="00716C89">
      <w:pPr>
        <w:rPr>
          <w:b/>
          <w:sz w:val="22"/>
          <w:szCs w:val="22"/>
        </w:rPr>
      </w:pPr>
      <w:r>
        <w:rPr>
          <w:b/>
          <w:sz w:val="22"/>
          <w:szCs w:val="22"/>
        </w:rPr>
        <w:t>APOLOGIES</w:t>
      </w:r>
    </w:p>
    <w:p w14:paraId="2286A0BB" w14:textId="77777777" w:rsidR="00884C00" w:rsidRDefault="00884C00" w:rsidP="00716C89">
      <w:pPr>
        <w:rPr>
          <w:b/>
          <w:sz w:val="22"/>
          <w:szCs w:val="22"/>
        </w:rPr>
      </w:pPr>
    </w:p>
    <w:p w14:paraId="2CB514A5" w14:textId="111FA8CC" w:rsidR="00AC7C19" w:rsidRDefault="005C16F3" w:rsidP="00716C89">
      <w:pPr>
        <w:rPr>
          <w:sz w:val="22"/>
        </w:rPr>
      </w:pPr>
      <w:r>
        <w:rPr>
          <w:sz w:val="22"/>
        </w:rPr>
        <w:t>Apologies were received fr</w:t>
      </w:r>
      <w:r w:rsidR="006E70A1">
        <w:rPr>
          <w:sz w:val="22"/>
        </w:rPr>
        <w:t>om</w:t>
      </w:r>
      <w:r>
        <w:rPr>
          <w:sz w:val="22"/>
        </w:rPr>
        <w:t xml:space="preserve"> the Chief Constable, Francis Habgood </w:t>
      </w:r>
      <w:r w:rsidR="002C77FF">
        <w:rPr>
          <w:sz w:val="22"/>
        </w:rPr>
        <w:t xml:space="preserve">(FH) </w:t>
      </w:r>
      <w:r>
        <w:rPr>
          <w:sz w:val="22"/>
        </w:rPr>
        <w:t>and Christine Kirby</w:t>
      </w:r>
      <w:r w:rsidR="002C77FF">
        <w:rPr>
          <w:sz w:val="22"/>
        </w:rPr>
        <w:t xml:space="preserve"> (CK)</w:t>
      </w:r>
      <w:r>
        <w:rPr>
          <w:sz w:val="22"/>
        </w:rPr>
        <w:t>.</w:t>
      </w:r>
    </w:p>
    <w:p w14:paraId="368ED053" w14:textId="77777777" w:rsidR="005C16F3" w:rsidRDefault="005C16F3" w:rsidP="00716C89">
      <w:pPr>
        <w:rPr>
          <w:sz w:val="22"/>
        </w:rPr>
      </w:pPr>
    </w:p>
    <w:p w14:paraId="607928B1" w14:textId="231AF6FA" w:rsidR="00B17628" w:rsidRDefault="005C16F3" w:rsidP="00716C89">
      <w:pPr>
        <w:rPr>
          <w:b/>
          <w:sz w:val="22"/>
        </w:rPr>
      </w:pPr>
      <w:r>
        <w:rPr>
          <w:b/>
          <w:sz w:val="22"/>
        </w:rPr>
        <w:t>47.</w:t>
      </w:r>
      <w:r>
        <w:rPr>
          <w:b/>
          <w:sz w:val="22"/>
        </w:rPr>
        <w:tab/>
        <w:t>MINUTES OF THE LAST LEVEL 1 MEETING HELD ON 22 JANUARY 2019</w:t>
      </w:r>
    </w:p>
    <w:p w14:paraId="5C81A524" w14:textId="77777777" w:rsidR="00B17628" w:rsidRDefault="00B17628" w:rsidP="00716C89">
      <w:pPr>
        <w:rPr>
          <w:b/>
          <w:sz w:val="22"/>
        </w:rPr>
      </w:pPr>
    </w:p>
    <w:p w14:paraId="2AFAD8FA" w14:textId="700C2572" w:rsidR="00B17628" w:rsidRDefault="00B17628" w:rsidP="00177A98">
      <w:pPr>
        <w:rPr>
          <w:sz w:val="22"/>
        </w:rPr>
      </w:pPr>
      <w:r>
        <w:rPr>
          <w:sz w:val="22"/>
        </w:rPr>
        <w:t xml:space="preserve">The PCC went through the actions </w:t>
      </w:r>
      <w:r w:rsidR="002C77FF">
        <w:rPr>
          <w:sz w:val="22"/>
        </w:rPr>
        <w:t xml:space="preserve">in </w:t>
      </w:r>
      <w:r>
        <w:rPr>
          <w:sz w:val="22"/>
        </w:rPr>
        <w:t xml:space="preserve">the </w:t>
      </w:r>
      <w:r w:rsidR="002C77FF">
        <w:rPr>
          <w:sz w:val="22"/>
        </w:rPr>
        <w:t>M</w:t>
      </w:r>
      <w:r>
        <w:rPr>
          <w:sz w:val="22"/>
        </w:rPr>
        <w:t xml:space="preserve">inutes of the last Level 1 meeting held on 22 January 2019.  </w:t>
      </w:r>
    </w:p>
    <w:p w14:paraId="19ACC9A3" w14:textId="592C280A" w:rsidR="00B17628" w:rsidRDefault="00B17628" w:rsidP="00177A98">
      <w:pPr>
        <w:rPr>
          <w:sz w:val="22"/>
        </w:rPr>
      </w:pPr>
    </w:p>
    <w:p w14:paraId="0E08EC31" w14:textId="069B6471" w:rsidR="00B17628" w:rsidRDefault="00B17628" w:rsidP="00177A98">
      <w:pPr>
        <w:rPr>
          <w:sz w:val="22"/>
        </w:rPr>
      </w:pPr>
      <w:r>
        <w:rPr>
          <w:sz w:val="22"/>
        </w:rPr>
        <w:t xml:space="preserve">It was noted that the meeting to discuss an approach to responding to published recommendations on the HMICFRS reports had to be deferred again as clarification was </w:t>
      </w:r>
      <w:r w:rsidR="002C77FF">
        <w:rPr>
          <w:sz w:val="22"/>
        </w:rPr>
        <w:t xml:space="preserve">still </w:t>
      </w:r>
      <w:r>
        <w:rPr>
          <w:sz w:val="22"/>
        </w:rPr>
        <w:t>awaited by HMICFRS.  Once this had been received</w:t>
      </w:r>
      <w:r w:rsidR="002C77FF">
        <w:rPr>
          <w:sz w:val="22"/>
        </w:rPr>
        <w:t>,</w:t>
      </w:r>
      <w:r>
        <w:rPr>
          <w:sz w:val="22"/>
        </w:rPr>
        <w:t xml:space="preserve"> the meeting </w:t>
      </w:r>
      <w:r w:rsidR="002C77FF">
        <w:rPr>
          <w:sz w:val="22"/>
        </w:rPr>
        <w:t>c</w:t>
      </w:r>
      <w:r>
        <w:rPr>
          <w:sz w:val="22"/>
        </w:rPr>
        <w:t xml:space="preserve">ould </w:t>
      </w:r>
      <w:r w:rsidR="002C77FF">
        <w:rPr>
          <w:sz w:val="22"/>
        </w:rPr>
        <w:t>then be rescheduled between D</w:t>
      </w:r>
      <w:r w:rsidR="006E70A1">
        <w:rPr>
          <w:sz w:val="22"/>
        </w:rPr>
        <w:t>CC</w:t>
      </w:r>
      <w:r w:rsidR="002C77FF">
        <w:rPr>
          <w:sz w:val="22"/>
        </w:rPr>
        <w:t xml:space="preserve"> John Campbell (JC) and Paul Hammond (PH).</w:t>
      </w:r>
    </w:p>
    <w:p w14:paraId="65D4069C" w14:textId="77777777" w:rsidR="00B17628" w:rsidRDefault="00B17628" w:rsidP="00177A98">
      <w:pPr>
        <w:rPr>
          <w:sz w:val="22"/>
        </w:rPr>
      </w:pPr>
    </w:p>
    <w:p w14:paraId="50D45858" w14:textId="35002ECC" w:rsidR="00B17628" w:rsidRDefault="00B17628" w:rsidP="00177A98">
      <w:pPr>
        <w:rPr>
          <w:sz w:val="22"/>
        </w:rPr>
      </w:pPr>
      <w:r>
        <w:rPr>
          <w:sz w:val="22"/>
        </w:rPr>
        <w:t>The PCC APPROVED the Level 1 Minutes dated 22 January 2019.</w:t>
      </w:r>
    </w:p>
    <w:p w14:paraId="68B5B9DA" w14:textId="77777777" w:rsidR="005C16F3" w:rsidRDefault="005C16F3" w:rsidP="00716C89">
      <w:pPr>
        <w:rPr>
          <w:b/>
          <w:sz w:val="22"/>
        </w:rPr>
      </w:pPr>
    </w:p>
    <w:p w14:paraId="50D3EC1D" w14:textId="77777777" w:rsidR="00680855" w:rsidRDefault="00680855" w:rsidP="00716C89">
      <w:pPr>
        <w:rPr>
          <w:b/>
          <w:sz w:val="22"/>
        </w:rPr>
      </w:pPr>
    </w:p>
    <w:p w14:paraId="291C1D72" w14:textId="02A9F1BA" w:rsidR="005C16F3" w:rsidRDefault="005C16F3" w:rsidP="00716C89">
      <w:pPr>
        <w:rPr>
          <w:b/>
          <w:sz w:val="22"/>
        </w:rPr>
      </w:pPr>
      <w:r>
        <w:rPr>
          <w:b/>
          <w:sz w:val="22"/>
        </w:rPr>
        <w:t>48.</w:t>
      </w:r>
      <w:r>
        <w:rPr>
          <w:b/>
          <w:sz w:val="22"/>
        </w:rPr>
        <w:tab/>
        <w:t>MINUTES OF THE CIEP MEETING DATED 12 DECEMBER 2018</w:t>
      </w:r>
    </w:p>
    <w:p w14:paraId="631012F6" w14:textId="77777777" w:rsidR="00B17628" w:rsidRDefault="00B17628" w:rsidP="00716C89">
      <w:pPr>
        <w:rPr>
          <w:b/>
          <w:sz w:val="22"/>
        </w:rPr>
      </w:pPr>
    </w:p>
    <w:p w14:paraId="7AB45E50" w14:textId="03C5D1DB" w:rsidR="00B17628" w:rsidRPr="00B17628" w:rsidRDefault="001226E4" w:rsidP="00716C89">
      <w:pPr>
        <w:rPr>
          <w:sz w:val="22"/>
        </w:rPr>
      </w:pPr>
      <w:r>
        <w:rPr>
          <w:sz w:val="22"/>
        </w:rPr>
        <w:t xml:space="preserve">The PCC summarised the minutes of the CIEP meeting held on 12 December 2018.  (JC) raised the issue of topic matters that </w:t>
      </w:r>
      <w:r w:rsidR="002E5727">
        <w:rPr>
          <w:sz w:val="22"/>
        </w:rPr>
        <w:t>we</w:t>
      </w:r>
      <w:r>
        <w:rPr>
          <w:sz w:val="22"/>
        </w:rPr>
        <w:t xml:space="preserve">re discussed </w:t>
      </w:r>
      <w:r w:rsidR="002E5727">
        <w:rPr>
          <w:sz w:val="22"/>
        </w:rPr>
        <w:t xml:space="preserve">during the meeting </w:t>
      </w:r>
      <w:r>
        <w:rPr>
          <w:sz w:val="22"/>
        </w:rPr>
        <w:t xml:space="preserve">by the Panel members </w:t>
      </w:r>
      <w:r w:rsidR="002E5727">
        <w:rPr>
          <w:sz w:val="22"/>
        </w:rPr>
        <w:t>and</w:t>
      </w:r>
      <w:r>
        <w:rPr>
          <w:sz w:val="22"/>
        </w:rPr>
        <w:t xml:space="preserve"> </w:t>
      </w:r>
      <w:r w:rsidR="002C77FF">
        <w:rPr>
          <w:sz w:val="22"/>
        </w:rPr>
        <w:t xml:space="preserve">indicated </w:t>
      </w:r>
      <w:r>
        <w:rPr>
          <w:sz w:val="22"/>
        </w:rPr>
        <w:t xml:space="preserve">that ACC Jason Hogg </w:t>
      </w:r>
      <w:r w:rsidR="00C56242">
        <w:rPr>
          <w:sz w:val="22"/>
        </w:rPr>
        <w:t xml:space="preserve">(JH) </w:t>
      </w:r>
      <w:r>
        <w:rPr>
          <w:sz w:val="22"/>
        </w:rPr>
        <w:t>would provide the Panel with the information required</w:t>
      </w:r>
      <w:r w:rsidR="002E5727">
        <w:rPr>
          <w:sz w:val="22"/>
        </w:rPr>
        <w:t xml:space="preserve"> to find the </w:t>
      </w:r>
      <w:r>
        <w:rPr>
          <w:sz w:val="22"/>
        </w:rPr>
        <w:t>right balance</w:t>
      </w:r>
      <w:r w:rsidR="002C77FF">
        <w:rPr>
          <w:sz w:val="22"/>
        </w:rPr>
        <w:t xml:space="preserve"> of topics to discuss</w:t>
      </w:r>
      <w:r>
        <w:rPr>
          <w:sz w:val="22"/>
        </w:rPr>
        <w:t>.</w:t>
      </w:r>
    </w:p>
    <w:p w14:paraId="36A25B42" w14:textId="77777777" w:rsidR="005C16F3" w:rsidRDefault="005C16F3" w:rsidP="00716C89">
      <w:pPr>
        <w:rPr>
          <w:b/>
          <w:sz w:val="22"/>
        </w:rPr>
      </w:pPr>
    </w:p>
    <w:p w14:paraId="6DCFBFE2" w14:textId="044257FD" w:rsidR="003A126F" w:rsidRDefault="003A126F" w:rsidP="00716C89">
      <w:pPr>
        <w:rPr>
          <w:sz w:val="22"/>
        </w:rPr>
      </w:pPr>
      <w:r>
        <w:rPr>
          <w:sz w:val="22"/>
        </w:rPr>
        <w:t>The PCC NOTED the CIEP Minutes dated 12 December 2018.</w:t>
      </w:r>
    </w:p>
    <w:p w14:paraId="56012056" w14:textId="77777777" w:rsidR="003A126F" w:rsidRDefault="003A126F" w:rsidP="00716C89">
      <w:pPr>
        <w:rPr>
          <w:sz w:val="22"/>
        </w:rPr>
      </w:pPr>
    </w:p>
    <w:p w14:paraId="00364919" w14:textId="77777777" w:rsidR="003A126F" w:rsidRPr="003A126F" w:rsidRDefault="003A126F" w:rsidP="00716C89">
      <w:pPr>
        <w:rPr>
          <w:sz w:val="22"/>
        </w:rPr>
      </w:pPr>
    </w:p>
    <w:p w14:paraId="7739E138" w14:textId="5DF72496" w:rsidR="005C16F3" w:rsidRDefault="005C16F3" w:rsidP="00716C89">
      <w:pPr>
        <w:rPr>
          <w:b/>
          <w:sz w:val="22"/>
        </w:rPr>
      </w:pPr>
      <w:r>
        <w:rPr>
          <w:b/>
          <w:sz w:val="22"/>
        </w:rPr>
        <w:t>49.</w:t>
      </w:r>
      <w:r>
        <w:rPr>
          <w:b/>
          <w:sz w:val="22"/>
        </w:rPr>
        <w:tab/>
        <w:t>CIE PANEL ANNUAL ASSURANCE REPORT 2018</w:t>
      </w:r>
    </w:p>
    <w:p w14:paraId="3D9F02CC" w14:textId="77777777" w:rsidR="003A126F" w:rsidRDefault="003A126F" w:rsidP="00716C89">
      <w:pPr>
        <w:rPr>
          <w:b/>
          <w:sz w:val="22"/>
        </w:rPr>
      </w:pPr>
    </w:p>
    <w:p w14:paraId="183B273A" w14:textId="20DC8386" w:rsidR="003A126F" w:rsidRPr="003A126F" w:rsidRDefault="00241EAD" w:rsidP="00716C89">
      <w:pPr>
        <w:rPr>
          <w:sz w:val="22"/>
        </w:rPr>
      </w:pPr>
      <w:r>
        <w:rPr>
          <w:sz w:val="22"/>
        </w:rPr>
        <w:t>The PCC noted that the Annual Assurance Report and Terms of Reference had been provided to the CIE Panel who had provided assurance to both the PCC and Chief Constable that the complaints handling and management arrangements in place within Thames Valley Police were operating efficiently and effectively.</w:t>
      </w:r>
    </w:p>
    <w:p w14:paraId="5E82E0CE" w14:textId="77777777" w:rsidR="005C16F3" w:rsidRDefault="005C16F3" w:rsidP="00716C89">
      <w:pPr>
        <w:rPr>
          <w:b/>
          <w:sz w:val="22"/>
        </w:rPr>
      </w:pPr>
    </w:p>
    <w:p w14:paraId="6D4381F4" w14:textId="3644AF38" w:rsidR="005C16F3" w:rsidRDefault="005C16F3" w:rsidP="00716C89">
      <w:pPr>
        <w:rPr>
          <w:b/>
          <w:sz w:val="22"/>
        </w:rPr>
      </w:pPr>
      <w:r>
        <w:rPr>
          <w:b/>
          <w:sz w:val="22"/>
        </w:rPr>
        <w:lastRenderedPageBreak/>
        <w:t>50.</w:t>
      </w:r>
      <w:r>
        <w:rPr>
          <w:b/>
          <w:sz w:val="22"/>
        </w:rPr>
        <w:tab/>
        <w:t>TVP FORCE DELIVERY PLAN 2018/19</w:t>
      </w:r>
    </w:p>
    <w:p w14:paraId="46AE7A48" w14:textId="77777777" w:rsidR="00241EAD" w:rsidRDefault="00241EAD" w:rsidP="00716C89">
      <w:pPr>
        <w:rPr>
          <w:b/>
          <w:sz w:val="22"/>
        </w:rPr>
      </w:pPr>
    </w:p>
    <w:p w14:paraId="702F64F3" w14:textId="195168E3" w:rsidR="00C65FAE" w:rsidRDefault="00C65FAE" w:rsidP="00716C89">
      <w:pPr>
        <w:rPr>
          <w:sz w:val="22"/>
        </w:rPr>
      </w:pPr>
      <w:r>
        <w:rPr>
          <w:sz w:val="22"/>
        </w:rPr>
        <w:t xml:space="preserve">The Force Delivery Plan for 2018/19 reflected the activities of TVP which contributed to meeting the </w:t>
      </w:r>
      <w:r w:rsidR="006E70A1">
        <w:rPr>
          <w:sz w:val="22"/>
        </w:rPr>
        <w:t xml:space="preserve">PCCs Police and Crime and the </w:t>
      </w:r>
      <w:r w:rsidR="002C77FF">
        <w:rPr>
          <w:sz w:val="22"/>
        </w:rPr>
        <w:t>F</w:t>
      </w:r>
      <w:r>
        <w:rPr>
          <w:sz w:val="22"/>
        </w:rPr>
        <w:t xml:space="preserve">orce commitments.  The Plan provided an overview of activities, over and above core policing activities that took place in Quarter 3 </w:t>
      </w:r>
      <w:r w:rsidR="002C77FF">
        <w:rPr>
          <w:sz w:val="22"/>
        </w:rPr>
        <w:t xml:space="preserve">that </w:t>
      </w:r>
      <w:r>
        <w:rPr>
          <w:sz w:val="22"/>
        </w:rPr>
        <w:t>covered the months October to December 2018.</w:t>
      </w:r>
    </w:p>
    <w:p w14:paraId="10BA4EC9" w14:textId="77777777" w:rsidR="00C65FAE" w:rsidRDefault="00C65FAE" w:rsidP="00716C89">
      <w:pPr>
        <w:rPr>
          <w:sz w:val="22"/>
        </w:rPr>
      </w:pPr>
    </w:p>
    <w:p w14:paraId="33335345" w14:textId="20086918" w:rsidR="00C65FAE" w:rsidRDefault="00C65FAE" w:rsidP="00716C89">
      <w:pPr>
        <w:rPr>
          <w:sz w:val="22"/>
        </w:rPr>
      </w:pPr>
      <w:r>
        <w:rPr>
          <w:sz w:val="22"/>
        </w:rPr>
        <w:t>(JC) updated the PCC as to various sections within the Delivery Plan.  In the Local Policing Areas (LPAs), County Drug Lines presented a particular threat to vulnerable people.  The positive work that has so far been carried out ha</w:t>
      </w:r>
      <w:r w:rsidR="002C77FF">
        <w:rPr>
          <w:sz w:val="22"/>
        </w:rPr>
        <w:t>d</w:t>
      </w:r>
      <w:r>
        <w:rPr>
          <w:sz w:val="22"/>
        </w:rPr>
        <w:t xml:space="preserve"> led to identification of exploiters and given the opportunity to close down drug houses.  </w:t>
      </w:r>
    </w:p>
    <w:p w14:paraId="703A3E9B" w14:textId="77777777" w:rsidR="00C65FAE" w:rsidRDefault="00C65FAE" w:rsidP="00716C89">
      <w:pPr>
        <w:rPr>
          <w:sz w:val="22"/>
        </w:rPr>
      </w:pPr>
    </w:p>
    <w:p w14:paraId="0580C5FC" w14:textId="653FEA1D" w:rsidR="00C65FAE" w:rsidRDefault="00C65FAE" w:rsidP="00716C89">
      <w:pPr>
        <w:rPr>
          <w:sz w:val="22"/>
        </w:rPr>
      </w:pPr>
      <w:r>
        <w:rPr>
          <w:sz w:val="22"/>
        </w:rPr>
        <w:t xml:space="preserve">A new Victim &amp; Witness Care portfolio had been established which expanded the role of the witness care unit.  This aimed to relieve the pressures on officers and improve success rates in </w:t>
      </w:r>
      <w:r w:rsidR="002C77FF">
        <w:rPr>
          <w:sz w:val="22"/>
        </w:rPr>
        <w:t>C</w:t>
      </w:r>
      <w:r>
        <w:rPr>
          <w:sz w:val="22"/>
        </w:rPr>
        <w:t xml:space="preserve">ourt to ensure victims were better supported.  The Livelink project went live in January and allowed officers to give evidence for traffic offences from 14 sites in the </w:t>
      </w:r>
      <w:r w:rsidR="002C77FF">
        <w:rPr>
          <w:sz w:val="22"/>
        </w:rPr>
        <w:t>F</w:t>
      </w:r>
      <w:r>
        <w:rPr>
          <w:sz w:val="22"/>
        </w:rPr>
        <w:t xml:space="preserve">orce by </w:t>
      </w:r>
      <w:r w:rsidR="002C77FF">
        <w:rPr>
          <w:sz w:val="22"/>
        </w:rPr>
        <w:t xml:space="preserve">way of </w:t>
      </w:r>
      <w:r>
        <w:rPr>
          <w:sz w:val="22"/>
        </w:rPr>
        <w:t>video link rather than in person</w:t>
      </w:r>
      <w:r w:rsidR="00D4262B">
        <w:rPr>
          <w:sz w:val="22"/>
        </w:rPr>
        <w:t xml:space="preserve"> and therefore abstractions from other duties.  (JC) felt it was worth</w:t>
      </w:r>
      <w:r w:rsidR="002C77FF">
        <w:rPr>
          <w:sz w:val="22"/>
        </w:rPr>
        <w:t>y</w:t>
      </w:r>
      <w:r w:rsidR="00D4262B">
        <w:rPr>
          <w:sz w:val="22"/>
        </w:rPr>
        <w:t xml:space="preserve"> to note that the Witness Care Unit had worked with the Crown Prosecution Service (CPS) to improve victim attendance</w:t>
      </w:r>
      <w:r w:rsidR="002C77FF">
        <w:rPr>
          <w:sz w:val="22"/>
        </w:rPr>
        <w:t>s</w:t>
      </w:r>
      <w:r w:rsidR="00D4262B">
        <w:rPr>
          <w:sz w:val="22"/>
        </w:rPr>
        <w:t xml:space="preserve"> at </w:t>
      </w:r>
      <w:r w:rsidR="002C77FF">
        <w:rPr>
          <w:sz w:val="22"/>
        </w:rPr>
        <w:t>C</w:t>
      </w:r>
      <w:r w:rsidR="00D4262B">
        <w:rPr>
          <w:sz w:val="22"/>
        </w:rPr>
        <w:t xml:space="preserve">ourt for domestic abuse cases and the positive </w:t>
      </w:r>
      <w:r w:rsidR="002C77FF">
        <w:rPr>
          <w:sz w:val="22"/>
        </w:rPr>
        <w:t>C</w:t>
      </w:r>
      <w:r w:rsidR="00D4262B">
        <w:rPr>
          <w:sz w:val="22"/>
        </w:rPr>
        <w:t>ourt outcomes had increased.  In December 2018, support had been given to 14,297 witnesses at Crown Court and 7,849 witnesses attended at Magistrates Court.  This work had been recognised with an award by the Local Criminal Justice Board (LCJB) with TVP’s Criminal Justice Department participating in national working groups to further the improvements to witness care provision</w:t>
      </w:r>
      <w:r w:rsidR="002C77FF">
        <w:rPr>
          <w:sz w:val="22"/>
        </w:rPr>
        <w:t>s</w:t>
      </w:r>
      <w:r w:rsidR="00D4262B">
        <w:rPr>
          <w:sz w:val="22"/>
        </w:rPr>
        <w:t>.</w:t>
      </w:r>
    </w:p>
    <w:p w14:paraId="7794D222" w14:textId="77777777" w:rsidR="00D4262B" w:rsidRDefault="00D4262B" w:rsidP="00716C89">
      <w:pPr>
        <w:rPr>
          <w:sz w:val="22"/>
        </w:rPr>
      </w:pPr>
    </w:p>
    <w:p w14:paraId="0FEE6182" w14:textId="662E7A12" w:rsidR="00D4262B" w:rsidRDefault="002C77FF" w:rsidP="00716C89">
      <w:pPr>
        <w:rPr>
          <w:sz w:val="22"/>
        </w:rPr>
      </w:pPr>
      <w:r>
        <w:rPr>
          <w:sz w:val="22"/>
        </w:rPr>
        <w:t>‘</w:t>
      </w:r>
      <w:r w:rsidR="00D4262B">
        <w:rPr>
          <w:sz w:val="22"/>
        </w:rPr>
        <w:t>Op Signature</w:t>
      </w:r>
      <w:r>
        <w:rPr>
          <w:sz w:val="22"/>
        </w:rPr>
        <w:t>’</w:t>
      </w:r>
      <w:r w:rsidR="00D4262B">
        <w:rPr>
          <w:sz w:val="22"/>
        </w:rPr>
        <w:t xml:space="preserve"> had been implemented by the Force in November 2018 as a national initiative to safeguard victims of financial abuse.</w:t>
      </w:r>
    </w:p>
    <w:p w14:paraId="26A67FCA" w14:textId="77777777" w:rsidR="00D4262B" w:rsidRDefault="00D4262B" w:rsidP="00716C89">
      <w:pPr>
        <w:rPr>
          <w:sz w:val="22"/>
        </w:rPr>
      </w:pPr>
    </w:p>
    <w:p w14:paraId="63C56E2C" w14:textId="200E04AB" w:rsidR="00D4262B" w:rsidRDefault="00D4262B" w:rsidP="00716C89">
      <w:pPr>
        <w:rPr>
          <w:sz w:val="22"/>
        </w:rPr>
      </w:pPr>
      <w:r>
        <w:rPr>
          <w:sz w:val="22"/>
        </w:rPr>
        <w:t>Huddersfield University had completed their research into fast track ‘domestic abuse’ cases at Aylesbury Crown Court following a successful pilot and this work was ongoing towards national implementation</w:t>
      </w:r>
      <w:r w:rsidR="002C77FF">
        <w:rPr>
          <w:sz w:val="22"/>
        </w:rPr>
        <w:t>,</w:t>
      </w:r>
      <w:r>
        <w:rPr>
          <w:sz w:val="22"/>
        </w:rPr>
        <w:t xml:space="preserve"> if agreed by the National Police Chiefs’ Council (NPCC), CPS and the Judiciary.  </w:t>
      </w:r>
    </w:p>
    <w:p w14:paraId="3B417294" w14:textId="77777777" w:rsidR="00BA358A" w:rsidRDefault="00BA358A" w:rsidP="00716C89">
      <w:pPr>
        <w:rPr>
          <w:sz w:val="22"/>
        </w:rPr>
      </w:pPr>
    </w:p>
    <w:p w14:paraId="58D56324" w14:textId="7C85D662" w:rsidR="00BA358A" w:rsidRDefault="00BA358A" w:rsidP="00716C89">
      <w:pPr>
        <w:rPr>
          <w:sz w:val="22"/>
        </w:rPr>
      </w:pPr>
      <w:r>
        <w:rPr>
          <w:sz w:val="22"/>
        </w:rPr>
        <w:t xml:space="preserve">Phase 4 of the Hidden Harm </w:t>
      </w:r>
      <w:r w:rsidR="002C77FF">
        <w:rPr>
          <w:sz w:val="22"/>
        </w:rPr>
        <w:t>C</w:t>
      </w:r>
      <w:r>
        <w:rPr>
          <w:sz w:val="22"/>
        </w:rPr>
        <w:t xml:space="preserve">ampaign was now complete and had reached more than 835,000 people on social media and supported by campaigners such as the National Black Police Association and the </w:t>
      </w:r>
      <w:r w:rsidR="002C77FF">
        <w:rPr>
          <w:sz w:val="22"/>
        </w:rPr>
        <w:t>D</w:t>
      </w:r>
      <w:r>
        <w:rPr>
          <w:sz w:val="22"/>
        </w:rPr>
        <w:t xml:space="preserve">isability </w:t>
      </w:r>
      <w:r w:rsidR="002C77FF">
        <w:rPr>
          <w:sz w:val="22"/>
        </w:rPr>
        <w:t>C</w:t>
      </w:r>
      <w:r>
        <w:rPr>
          <w:sz w:val="22"/>
        </w:rPr>
        <w:t xml:space="preserve">harity </w:t>
      </w:r>
      <w:r w:rsidR="002C77FF">
        <w:rPr>
          <w:sz w:val="22"/>
        </w:rPr>
        <w:t>‘</w:t>
      </w:r>
      <w:r>
        <w:rPr>
          <w:sz w:val="22"/>
        </w:rPr>
        <w:t>United Response</w:t>
      </w:r>
      <w:r w:rsidR="002C77FF">
        <w:rPr>
          <w:sz w:val="22"/>
        </w:rPr>
        <w:t>’</w:t>
      </w:r>
      <w:r>
        <w:rPr>
          <w:sz w:val="22"/>
        </w:rPr>
        <w:t>.</w:t>
      </w:r>
    </w:p>
    <w:p w14:paraId="0B2FF5F7" w14:textId="77777777" w:rsidR="00BA358A" w:rsidRDefault="00BA358A" w:rsidP="00716C89">
      <w:pPr>
        <w:rPr>
          <w:sz w:val="22"/>
        </w:rPr>
      </w:pPr>
    </w:p>
    <w:p w14:paraId="18EF879B" w14:textId="4010E02F" w:rsidR="009C14D6" w:rsidRDefault="00BA358A" w:rsidP="00716C89">
      <w:pPr>
        <w:rPr>
          <w:sz w:val="22"/>
        </w:rPr>
      </w:pPr>
      <w:r>
        <w:rPr>
          <w:sz w:val="22"/>
        </w:rPr>
        <w:t>Feedback from the CPS had highlighted that last year had seen a marked improvement in file quality, leading to increased confidence in the quality of prosecutions</w:t>
      </w:r>
      <w:r w:rsidR="009C14D6">
        <w:rPr>
          <w:sz w:val="22"/>
        </w:rPr>
        <w:t xml:space="preserve">.  This was directly linked to the creation of the new file quality and prosecution performance portfolio which </w:t>
      </w:r>
      <w:r w:rsidR="002C77FF">
        <w:rPr>
          <w:sz w:val="22"/>
        </w:rPr>
        <w:t>was</w:t>
      </w:r>
      <w:r w:rsidR="009C14D6">
        <w:rPr>
          <w:sz w:val="22"/>
        </w:rPr>
        <w:t xml:space="preserve"> currently being led by Supt Katy Barrow-Grint (KBG).  The new Chief Crown Prosecutor</w:t>
      </w:r>
      <w:r w:rsidR="002C77FF">
        <w:rPr>
          <w:sz w:val="22"/>
        </w:rPr>
        <w:t>,</w:t>
      </w:r>
      <w:r w:rsidR="009C14D6">
        <w:rPr>
          <w:sz w:val="22"/>
        </w:rPr>
        <w:t xml:space="preserve"> Jaswant Narwal was very experienced and focussed on performance and (JC) and the PCC were </w:t>
      </w:r>
      <w:r w:rsidR="002C77FF">
        <w:rPr>
          <w:sz w:val="22"/>
        </w:rPr>
        <w:t xml:space="preserve">both </w:t>
      </w:r>
      <w:r w:rsidR="009C14D6">
        <w:rPr>
          <w:sz w:val="22"/>
        </w:rPr>
        <w:t>keen to get both sets of strategic priorities discussed with her.</w:t>
      </w:r>
      <w:r w:rsidR="00095A76">
        <w:rPr>
          <w:sz w:val="22"/>
        </w:rPr>
        <w:t xml:space="preserve">  The PCC confirmed he had a meeting to see the new Chief Crown Prosecutor in June.</w:t>
      </w:r>
    </w:p>
    <w:p w14:paraId="6FD18C4F" w14:textId="77777777" w:rsidR="009C14D6" w:rsidRDefault="009C14D6" w:rsidP="00716C89">
      <w:pPr>
        <w:rPr>
          <w:sz w:val="22"/>
        </w:rPr>
      </w:pPr>
    </w:p>
    <w:p w14:paraId="5500B2C0" w14:textId="4880E379" w:rsidR="009C14D6" w:rsidRDefault="009C14D6" w:rsidP="00716C89">
      <w:pPr>
        <w:rPr>
          <w:sz w:val="22"/>
        </w:rPr>
      </w:pPr>
      <w:r>
        <w:rPr>
          <w:sz w:val="22"/>
        </w:rPr>
        <w:t xml:space="preserve">TVP’s </w:t>
      </w:r>
      <w:r w:rsidR="002C77FF">
        <w:rPr>
          <w:sz w:val="22"/>
        </w:rPr>
        <w:t>D</w:t>
      </w:r>
      <w:r>
        <w:rPr>
          <w:sz w:val="22"/>
        </w:rPr>
        <w:t xml:space="preserve">rug </w:t>
      </w:r>
      <w:r w:rsidR="002C77FF">
        <w:rPr>
          <w:sz w:val="22"/>
        </w:rPr>
        <w:t>D</w:t>
      </w:r>
      <w:r>
        <w:rPr>
          <w:sz w:val="22"/>
        </w:rPr>
        <w:t xml:space="preserve">iversion </w:t>
      </w:r>
      <w:r w:rsidR="002C77FF">
        <w:rPr>
          <w:sz w:val="22"/>
        </w:rPr>
        <w:t>P</w:t>
      </w:r>
      <w:r>
        <w:rPr>
          <w:sz w:val="22"/>
        </w:rPr>
        <w:t xml:space="preserve">ilot </w:t>
      </w:r>
      <w:r w:rsidR="002C77FF">
        <w:rPr>
          <w:sz w:val="22"/>
        </w:rPr>
        <w:t>S</w:t>
      </w:r>
      <w:r>
        <w:rPr>
          <w:sz w:val="22"/>
        </w:rPr>
        <w:t xml:space="preserve">cheme had begun in West Berkshire following extensive development and research by the Policing Strategy Unit. (JC) confirmed the </w:t>
      </w:r>
      <w:r w:rsidR="002C77FF">
        <w:rPr>
          <w:sz w:val="22"/>
        </w:rPr>
        <w:t>r</w:t>
      </w:r>
      <w:r>
        <w:rPr>
          <w:sz w:val="22"/>
        </w:rPr>
        <w:t xml:space="preserve">eport would be shared with the PCC and DPCC, with the full report being available in May.  As to the </w:t>
      </w:r>
      <w:r w:rsidR="002C77FF">
        <w:rPr>
          <w:sz w:val="22"/>
        </w:rPr>
        <w:t>D</w:t>
      </w:r>
      <w:r>
        <w:rPr>
          <w:sz w:val="22"/>
        </w:rPr>
        <w:t xml:space="preserve">rug </w:t>
      </w:r>
      <w:r w:rsidR="002C77FF">
        <w:rPr>
          <w:sz w:val="22"/>
        </w:rPr>
        <w:t>T</w:t>
      </w:r>
      <w:r>
        <w:rPr>
          <w:sz w:val="22"/>
        </w:rPr>
        <w:t xml:space="preserve">reatment </w:t>
      </w:r>
      <w:r w:rsidR="002C77FF">
        <w:rPr>
          <w:sz w:val="22"/>
        </w:rPr>
        <w:t>S</w:t>
      </w:r>
      <w:r>
        <w:rPr>
          <w:sz w:val="22"/>
        </w:rPr>
        <w:t>cheme, (JC</w:t>
      </w:r>
      <w:r w:rsidR="002C77FF">
        <w:rPr>
          <w:sz w:val="22"/>
        </w:rPr>
        <w:t>) would</w:t>
      </w:r>
      <w:r>
        <w:rPr>
          <w:sz w:val="22"/>
        </w:rPr>
        <w:t xml:space="preserve"> speak to (KBG)</w:t>
      </w:r>
      <w:r w:rsidR="002C77FF">
        <w:rPr>
          <w:sz w:val="22"/>
        </w:rPr>
        <w:t xml:space="preserve"> about </w:t>
      </w:r>
      <w:r>
        <w:rPr>
          <w:sz w:val="22"/>
        </w:rPr>
        <w:t>this scheme and update the PCC and DPCC thereafter.</w:t>
      </w:r>
    </w:p>
    <w:p w14:paraId="665BF357" w14:textId="77777777" w:rsidR="009C14D6" w:rsidRDefault="009C14D6" w:rsidP="00716C89">
      <w:pPr>
        <w:rPr>
          <w:sz w:val="22"/>
        </w:rPr>
      </w:pPr>
    </w:p>
    <w:p w14:paraId="371A17C5" w14:textId="7B99F0CF" w:rsidR="00391065" w:rsidRDefault="002C77FF" w:rsidP="00716C89">
      <w:pPr>
        <w:rPr>
          <w:sz w:val="22"/>
        </w:rPr>
      </w:pPr>
      <w:r>
        <w:rPr>
          <w:sz w:val="22"/>
        </w:rPr>
        <w:t>There was a</w:t>
      </w:r>
      <w:r w:rsidR="009C14D6">
        <w:rPr>
          <w:sz w:val="22"/>
        </w:rPr>
        <w:t xml:space="preserve"> successful piece of work going on across the </w:t>
      </w:r>
      <w:r>
        <w:rPr>
          <w:sz w:val="22"/>
        </w:rPr>
        <w:t>F</w:t>
      </w:r>
      <w:r w:rsidR="009C14D6">
        <w:rPr>
          <w:sz w:val="22"/>
        </w:rPr>
        <w:t>orce were the Local Police Cadets rais</w:t>
      </w:r>
      <w:r>
        <w:rPr>
          <w:sz w:val="22"/>
        </w:rPr>
        <w:t>ed</w:t>
      </w:r>
      <w:r w:rsidR="009C14D6">
        <w:rPr>
          <w:sz w:val="22"/>
        </w:rPr>
        <w:t xml:space="preserve"> awareness of child sexual exploitation and licensing laws in eleven hotels.  This was supported by South Oxfordshire &amp; Vale of White Horse LPA and this approach ha</w:t>
      </w:r>
      <w:r>
        <w:rPr>
          <w:sz w:val="22"/>
        </w:rPr>
        <w:t>d</w:t>
      </w:r>
      <w:r w:rsidR="009C14D6">
        <w:rPr>
          <w:sz w:val="22"/>
        </w:rPr>
        <w:t xml:space="preserve"> shown marked improvements at establishments in the past, with five more operations in the planning.</w:t>
      </w:r>
    </w:p>
    <w:p w14:paraId="737F3489" w14:textId="77777777" w:rsidR="00391065" w:rsidRDefault="00391065" w:rsidP="00716C89">
      <w:pPr>
        <w:rPr>
          <w:sz w:val="22"/>
        </w:rPr>
      </w:pPr>
    </w:p>
    <w:p w14:paraId="591AE5B9" w14:textId="3DA6A3BB" w:rsidR="009C14D6" w:rsidRDefault="00391065" w:rsidP="00716C89">
      <w:pPr>
        <w:rPr>
          <w:sz w:val="22"/>
        </w:rPr>
      </w:pPr>
      <w:r>
        <w:rPr>
          <w:sz w:val="22"/>
        </w:rPr>
        <w:t xml:space="preserve">The PCC noted that the Safe Drive Stay Alive </w:t>
      </w:r>
      <w:r w:rsidR="002C77FF">
        <w:rPr>
          <w:sz w:val="22"/>
        </w:rPr>
        <w:t>C</w:t>
      </w:r>
      <w:r>
        <w:rPr>
          <w:sz w:val="22"/>
        </w:rPr>
        <w:t xml:space="preserve">ampaign proved to be very powerful exploring the circumstances and consequences of a road traffic collision.  This campaign was aimed at 16 to 18 year olds and also reached new and pre-drivers to influence behaviour and attitude on the roads.   </w:t>
      </w:r>
      <w:r w:rsidR="002C77FF">
        <w:rPr>
          <w:sz w:val="22"/>
        </w:rPr>
        <w:t>‘</w:t>
      </w:r>
      <w:r>
        <w:rPr>
          <w:sz w:val="22"/>
        </w:rPr>
        <w:t>Op Tutelage</w:t>
      </w:r>
      <w:r w:rsidR="002C77FF">
        <w:rPr>
          <w:sz w:val="22"/>
        </w:rPr>
        <w:t>’</w:t>
      </w:r>
      <w:r>
        <w:rPr>
          <w:sz w:val="22"/>
        </w:rPr>
        <w:t xml:space="preserve"> had been developed by the Joint Operations Unit of TVP and Hampshire Constabulary to tackle the number of uninsured drivers.  It had been adopted as a national initiative and was launched in November 2018.</w:t>
      </w:r>
    </w:p>
    <w:p w14:paraId="24C4520C" w14:textId="77777777" w:rsidR="00391065" w:rsidRDefault="00391065" w:rsidP="00716C89">
      <w:pPr>
        <w:rPr>
          <w:sz w:val="22"/>
        </w:rPr>
      </w:pPr>
    </w:p>
    <w:p w14:paraId="189F475E" w14:textId="3CE408C3" w:rsidR="00391065" w:rsidRDefault="00391065" w:rsidP="00716C89">
      <w:pPr>
        <w:rPr>
          <w:sz w:val="22"/>
        </w:rPr>
      </w:pPr>
      <w:r>
        <w:rPr>
          <w:sz w:val="22"/>
        </w:rPr>
        <w:lastRenderedPageBreak/>
        <w:t xml:space="preserve">The upgrade to TVP’s crime recording system was on track for February 2019 and this would align TVP with other regional forces.  Training had been delivered to prepare staff for the launch.  ACC Jason Hogg was leading on this and </w:t>
      </w:r>
      <w:r w:rsidR="002C77FF">
        <w:rPr>
          <w:sz w:val="22"/>
        </w:rPr>
        <w:t xml:space="preserve">had kept </w:t>
      </w:r>
      <w:r>
        <w:rPr>
          <w:sz w:val="22"/>
        </w:rPr>
        <w:t>within budget costs.</w:t>
      </w:r>
    </w:p>
    <w:p w14:paraId="3810D9F8" w14:textId="77777777" w:rsidR="0085587D" w:rsidRDefault="0085587D" w:rsidP="00716C89">
      <w:pPr>
        <w:rPr>
          <w:sz w:val="22"/>
        </w:rPr>
      </w:pPr>
    </w:p>
    <w:p w14:paraId="3AEC3990" w14:textId="7F5C36E5" w:rsidR="00391065" w:rsidRDefault="00391065" w:rsidP="00716C89">
      <w:pPr>
        <w:rPr>
          <w:sz w:val="22"/>
        </w:rPr>
      </w:pPr>
      <w:r>
        <w:rPr>
          <w:sz w:val="22"/>
        </w:rPr>
        <w:t xml:space="preserve">TVP had completed a pilot to move to the Android platform for mobile phones and rollout of these phones was expected to begin in February 2019.  This was in line with the National Enabling Programme, sharing infrastructure and services on a regional level and this would enable the Force to retain up-to-date and supportable technology which also included the ‘Stop and Search’ App.  TVP had also launched its new website and had seen a significant take-up rate of members of the public </w:t>
      </w:r>
      <w:r w:rsidR="00083AB6">
        <w:rPr>
          <w:sz w:val="22"/>
        </w:rPr>
        <w:t xml:space="preserve">wishing </w:t>
      </w:r>
      <w:r>
        <w:rPr>
          <w:sz w:val="22"/>
        </w:rPr>
        <w:t xml:space="preserve">to report a crime online.  </w:t>
      </w:r>
    </w:p>
    <w:p w14:paraId="45D822C9" w14:textId="77777777" w:rsidR="00F1257C" w:rsidRDefault="00F1257C" w:rsidP="00716C89">
      <w:pPr>
        <w:rPr>
          <w:sz w:val="22"/>
        </w:rPr>
      </w:pPr>
    </w:p>
    <w:p w14:paraId="0FBB50C4" w14:textId="74B70BB1" w:rsidR="00F1257C" w:rsidRDefault="00F1257C" w:rsidP="00716C89">
      <w:pPr>
        <w:rPr>
          <w:sz w:val="22"/>
        </w:rPr>
      </w:pPr>
      <w:r>
        <w:rPr>
          <w:sz w:val="22"/>
        </w:rPr>
        <w:t>The PCC referred to the section of a skilled and trusted workforce in that the Police Strategy Unit were developing the demand reduction work and looking into other offences like bilking, investigating options such as outsourcing investigations to the British Oil Security Syndicate (BOSS).  This would considerably reduce demand on TVP’s research team as well as insurance claims.</w:t>
      </w:r>
    </w:p>
    <w:p w14:paraId="6B108B25" w14:textId="77777777" w:rsidR="00F1257C" w:rsidRDefault="00F1257C" w:rsidP="00716C89">
      <w:pPr>
        <w:rPr>
          <w:sz w:val="22"/>
        </w:rPr>
      </w:pPr>
    </w:p>
    <w:p w14:paraId="2D486BE1" w14:textId="0B365D06" w:rsidR="00F1257C" w:rsidRDefault="00F1257C" w:rsidP="00716C89">
      <w:pPr>
        <w:rPr>
          <w:sz w:val="22"/>
        </w:rPr>
      </w:pPr>
      <w:r>
        <w:rPr>
          <w:sz w:val="22"/>
        </w:rPr>
        <w:t xml:space="preserve">The continued recruitment to the new Police Staff Investigator roles had supported investigations across the </w:t>
      </w:r>
      <w:r w:rsidR="00083AB6">
        <w:rPr>
          <w:sz w:val="22"/>
        </w:rPr>
        <w:t>F</w:t>
      </w:r>
      <w:r>
        <w:rPr>
          <w:sz w:val="22"/>
        </w:rPr>
        <w:t>orce with further staff investigations and forensic investigator roles continu</w:t>
      </w:r>
      <w:r w:rsidR="00083AB6">
        <w:rPr>
          <w:sz w:val="22"/>
        </w:rPr>
        <w:t>ing</w:t>
      </w:r>
      <w:r>
        <w:rPr>
          <w:sz w:val="22"/>
        </w:rPr>
        <w:t xml:space="preserve"> to be recruited.  The PCC asked (JC) how confident were TVP that the new </w:t>
      </w:r>
      <w:r w:rsidR="00083AB6">
        <w:rPr>
          <w:sz w:val="22"/>
        </w:rPr>
        <w:t xml:space="preserve">officer </w:t>
      </w:r>
      <w:r>
        <w:rPr>
          <w:sz w:val="22"/>
        </w:rPr>
        <w:t xml:space="preserve">recruits would </w:t>
      </w:r>
      <w:r w:rsidR="00083AB6">
        <w:rPr>
          <w:sz w:val="22"/>
        </w:rPr>
        <w:t xml:space="preserve">in fact </w:t>
      </w:r>
      <w:r>
        <w:rPr>
          <w:sz w:val="22"/>
        </w:rPr>
        <w:t xml:space="preserve">stay with the </w:t>
      </w:r>
      <w:r w:rsidR="00083AB6">
        <w:rPr>
          <w:sz w:val="22"/>
        </w:rPr>
        <w:t>F</w:t>
      </w:r>
      <w:r>
        <w:rPr>
          <w:sz w:val="22"/>
        </w:rPr>
        <w:t xml:space="preserve">orce as a lot of money </w:t>
      </w:r>
      <w:r w:rsidR="00083AB6">
        <w:rPr>
          <w:sz w:val="22"/>
        </w:rPr>
        <w:t>was</w:t>
      </w:r>
      <w:r>
        <w:rPr>
          <w:sz w:val="22"/>
        </w:rPr>
        <w:t xml:space="preserve"> spent on training them.  (JC) did not give any guarantees </w:t>
      </w:r>
      <w:r w:rsidR="00083AB6">
        <w:rPr>
          <w:sz w:val="22"/>
        </w:rPr>
        <w:t xml:space="preserve">but pointed out that </w:t>
      </w:r>
      <w:r>
        <w:rPr>
          <w:sz w:val="22"/>
        </w:rPr>
        <w:t>if a recruit</w:t>
      </w:r>
      <w:r w:rsidR="00083AB6">
        <w:rPr>
          <w:sz w:val="22"/>
        </w:rPr>
        <w:t>ed officer</w:t>
      </w:r>
      <w:r>
        <w:rPr>
          <w:sz w:val="22"/>
        </w:rPr>
        <w:t xml:space="preserve"> lived 20 miles or nearer to their station</w:t>
      </w:r>
      <w:r w:rsidR="00083AB6">
        <w:rPr>
          <w:sz w:val="22"/>
        </w:rPr>
        <w:t>,</w:t>
      </w:r>
      <w:r>
        <w:rPr>
          <w:sz w:val="22"/>
        </w:rPr>
        <w:t xml:space="preserve"> it would be more likely they would stay</w:t>
      </w:r>
      <w:r w:rsidR="00083AB6">
        <w:rPr>
          <w:sz w:val="22"/>
        </w:rPr>
        <w:t xml:space="preserve"> with that Force</w:t>
      </w:r>
      <w:r>
        <w:rPr>
          <w:sz w:val="22"/>
        </w:rPr>
        <w:t xml:space="preserve">.  </w:t>
      </w:r>
    </w:p>
    <w:p w14:paraId="60A1614B" w14:textId="77777777" w:rsidR="00F1257C" w:rsidRDefault="00F1257C" w:rsidP="00716C89">
      <w:pPr>
        <w:rPr>
          <w:sz w:val="22"/>
        </w:rPr>
      </w:pPr>
    </w:p>
    <w:p w14:paraId="6D88E83E" w14:textId="481EAD74" w:rsidR="00F1257C" w:rsidRDefault="00F1257C" w:rsidP="00716C89">
      <w:pPr>
        <w:rPr>
          <w:sz w:val="22"/>
        </w:rPr>
      </w:pPr>
      <w:r>
        <w:rPr>
          <w:sz w:val="22"/>
        </w:rPr>
        <w:t>Following on from Quarter 1 and 2, Professional Standards had reviewed their processes and were no</w:t>
      </w:r>
      <w:r w:rsidR="00083AB6">
        <w:rPr>
          <w:sz w:val="22"/>
        </w:rPr>
        <w:t>w</w:t>
      </w:r>
      <w:r>
        <w:rPr>
          <w:sz w:val="22"/>
        </w:rPr>
        <w:t xml:space="preserve"> putting all new and revised PSD policies before the CIEP for further scrutiny.</w:t>
      </w:r>
    </w:p>
    <w:p w14:paraId="71309E6F" w14:textId="77777777" w:rsidR="00F1257C" w:rsidRDefault="00F1257C" w:rsidP="00716C89">
      <w:pPr>
        <w:rPr>
          <w:sz w:val="22"/>
        </w:rPr>
      </w:pPr>
    </w:p>
    <w:p w14:paraId="0097D6A9" w14:textId="48B0AA86" w:rsidR="00F1257C" w:rsidRDefault="00F1257C" w:rsidP="00716C89">
      <w:pPr>
        <w:rPr>
          <w:sz w:val="22"/>
        </w:rPr>
      </w:pPr>
      <w:r>
        <w:rPr>
          <w:sz w:val="22"/>
        </w:rPr>
        <w:t>The Strategic Governance team had launched the force’s employee suggestion scheme ‘You Suggest’ which allowed members of all ranks to suggest improvements to the running of the Force and ha</w:t>
      </w:r>
      <w:r w:rsidR="00083AB6">
        <w:rPr>
          <w:sz w:val="22"/>
        </w:rPr>
        <w:t>d</w:t>
      </w:r>
      <w:r>
        <w:rPr>
          <w:sz w:val="22"/>
        </w:rPr>
        <w:t xml:space="preserve"> already received good ideas.</w:t>
      </w:r>
    </w:p>
    <w:p w14:paraId="0F1AE79B" w14:textId="77777777" w:rsidR="00F1257C" w:rsidRDefault="00F1257C" w:rsidP="00716C89">
      <w:pPr>
        <w:rPr>
          <w:sz w:val="22"/>
        </w:rPr>
      </w:pPr>
    </w:p>
    <w:p w14:paraId="5C613C17" w14:textId="56013BC5" w:rsidR="00F1257C" w:rsidRDefault="00F1257C" w:rsidP="00716C89">
      <w:pPr>
        <w:rPr>
          <w:sz w:val="22"/>
        </w:rPr>
      </w:pPr>
      <w:r>
        <w:rPr>
          <w:sz w:val="22"/>
        </w:rPr>
        <w:t xml:space="preserve">(JC) confirmed that the CDI re-inspection </w:t>
      </w:r>
      <w:r w:rsidR="00460068">
        <w:rPr>
          <w:sz w:val="22"/>
        </w:rPr>
        <w:t xml:space="preserve">would start on Monday and TVP were 94% compliant across the board.  TVP were confident that the same criteria would be used </w:t>
      </w:r>
      <w:r w:rsidR="00083AB6">
        <w:rPr>
          <w:sz w:val="22"/>
        </w:rPr>
        <w:t xml:space="preserve">again </w:t>
      </w:r>
      <w:r w:rsidR="00460068">
        <w:rPr>
          <w:sz w:val="22"/>
        </w:rPr>
        <w:t>and it would be a matter for HMICFRS as to what grade they give.  The Strategic Governance Unit had continued to produce Horizon Scanni</w:t>
      </w:r>
      <w:r w:rsidR="00083AB6">
        <w:rPr>
          <w:sz w:val="22"/>
        </w:rPr>
        <w:t>ng reports during this quarter and i</w:t>
      </w:r>
      <w:r w:rsidR="00460068">
        <w:rPr>
          <w:sz w:val="22"/>
        </w:rPr>
        <w:t xml:space="preserve">n readiness for the Force Management Statement 2, a new annual document was being developed called ‘Strategic Risks and Opportunities’ which examined all trends impacting the police, prioritising on impact and likelihood and selecting the top risks and opportunities for further analysis.  HMICFRS had sight of the TVP’s Force Management Statement where a lot of work had been undertaken by TVP and perhaps patterns would emerge that came out of the </w:t>
      </w:r>
      <w:r w:rsidR="00083AB6">
        <w:rPr>
          <w:sz w:val="22"/>
        </w:rPr>
        <w:t>I</w:t>
      </w:r>
      <w:r w:rsidR="00460068">
        <w:rPr>
          <w:sz w:val="22"/>
        </w:rPr>
        <w:t xml:space="preserve">nspection </w:t>
      </w:r>
      <w:r w:rsidR="00083AB6">
        <w:rPr>
          <w:sz w:val="22"/>
        </w:rPr>
        <w:t>R</w:t>
      </w:r>
      <w:r w:rsidR="00460068">
        <w:rPr>
          <w:sz w:val="22"/>
        </w:rPr>
        <w:t>eport.</w:t>
      </w:r>
    </w:p>
    <w:p w14:paraId="0F2C32EB" w14:textId="77777777" w:rsidR="00460068" w:rsidRDefault="00460068" w:rsidP="00716C89">
      <w:pPr>
        <w:rPr>
          <w:sz w:val="22"/>
        </w:rPr>
      </w:pPr>
    </w:p>
    <w:p w14:paraId="2DAA14A0" w14:textId="6F92C9ED" w:rsidR="00460068" w:rsidRDefault="00460068" w:rsidP="00716C89">
      <w:pPr>
        <w:rPr>
          <w:sz w:val="22"/>
        </w:rPr>
      </w:pPr>
      <w:r>
        <w:rPr>
          <w:sz w:val="22"/>
        </w:rPr>
        <w:t>Finally (JC) summarised the Priority Outcome Measures as set out on page 52. The PCC noted he wished to meet with (JC) to discuss the recent letter he had receive from Mark Khalil.  A meeting would therefore be set up.</w:t>
      </w:r>
    </w:p>
    <w:p w14:paraId="2D6D834C" w14:textId="77777777" w:rsidR="00460068" w:rsidRDefault="00460068" w:rsidP="00716C89">
      <w:pPr>
        <w:rPr>
          <w:sz w:val="22"/>
        </w:rPr>
      </w:pPr>
    </w:p>
    <w:p w14:paraId="5D52BE91" w14:textId="0AA14E9F" w:rsidR="00460068" w:rsidRDefault="00460068" w:rsidP="00716C89">
      <w:pPr>
        <w:rPr>
          <w:sz w:val="22"/>
        </w:rPr>
      </w:pPr>
      <w:r>
        <w:rPr>
          <w:sz w:val="22"/>
        </w:rPr>
        <w:t xml:space="preserve">Discussions in relation to adding the ‘Whats App’ app to TVP’s mobile phones took place and had been discussed during a </w:t>
      </w:r>
      <w:r w:rsidR="00083AB6">
        <w:rPr>
          <w:sz w:val="22"/>
        </w:rPr>
        <w:t>recent R</w:t>
      </w:r>
      <w:r>
        <w:rPr>
          <w:sz w:val="22"/>
        </w:rPr>
        <w:t xml:space="preserve">ural </w:t>
      </w:r>
      <w:r w:rsidR="00083AB6">
        <w:rPr>
          <w:sz w:val="22"/>
        </w:rPr>
        <w:t>C</w:t>
      </w:r>
      <w:r>
        <w:rPr>
          <w:sz w:val="22"/>
        </w:rPr>
        <w:t xml:space="preserve">rime </w:t>
      </w:r>
      <w:r w:rsidR="00083AB6">
        <w:rPr>
          <w:sz w:val="22"/>
        </w:rPr>
        <w:t>P</w:t>
      </w:r>
      <w:r>
        <w:rPr>
          <w:sz w:val="22"/>
        </w:rPr>
        <w:t xml:space="preserve">artnership meeting.  The challenge was getting this down the chain of command but work was being carried out by the Comms Department. </w:t>
      </w:r>
      <w:r w:rsidR="00AA421F">
        <w:rPr>
          <w:sz w:val="22"/>
        </w:rPr>
        <w:t xml:space="preserve">  The DPCC had spoken to farmers who had resistance with this and the Force would need to get </w:t>
      </w:r>
      <w:r w:rsidR="00083AB6">
        <w:rPr>
          <w:sz w:val="22"/>
        </w:rPr>
        <w:t xml:space="preserve">the right </w:t>
      </w:r>
      <w:r w:rsidR="00AA421F">
        <w:rPr>
          <w:sz w:val="22"/>
        </w:rPr>
        <w:t>balance.  (JC) confirmed he would take this away and discuss</w:t>
      </w:r>
      <w:r w:rsidR="00083AB6">
        <w:rPr>
          <w:sz w:val="22"/>
        </w:rPr>
        <w:t xml:space="preserve"> options</w:t>
      </w:r>
      <w:r w:rsidR="00AA421F">
        <w:rPr>
          <w:sz w:val="22"/>
        </w:rPr>
        <w:t xml:space="preserve"> with Amanda Cooper.</w:t>
      </w:r>
    </w:p>
    <w:p w14:paraId="1CEB390D" w14:textId="77777777" w:rsidR="00460068" w:rsidRDefault="00460068" w:rsidP="00716C89">
      <w:pPr>
        <w:rPr>
          <w:sz w:val="22"/>
        </w:rPr>
      </w:pPr>
    </w:p>
    <w:p w14:paraId="2AB88D31" w14:textId="0EBA7955" w:rsidR="00C56242" w:rsidRDefault="00C56242" w:rsidP="00716C89">
      <w:pPr>
        <w:rPr>
          <w:color w:val="FF0000"/>
          <w:sz w:val="22"/>
        </w:rPr>
      </w:pPr>
      <w:r>
        <w:rPr>
          <w:color w:val="FF0000"/>
          <w:sz w:val="22"/>
        </w:rPr>
        <w:t xml:space="preserve">Action: (JC) to share the TVP </w:t>
      </w:r>
      <w:r w:rsidR="00083AB6">
        <w:rPr>
          <w:color w:val="FF0000"/>
          <w:sz w:val="22"/>
        </w:rPr>
        <w:t>D</w:t>
      </w:r>
      <w:r>
        <w:rPr>
          <w:color w:val="FF0000"/>
          <w:sz w:val="22"/>
        </w:rPr>
        <w:t xml:space="preserve">rug </w:t>
      </w:r>
      <w:r w:rsidR="00083AB6">
        <w:rPr>
          <w:color w:val="FF0000"/>
          <w:sz w:val="22"/>
        </w:rPr>
        <w:t>D</w:t>
      </w:r>
      <w:r>
        <w:rPr>
          <w:color w:val="FF0000"/>
          <w:sz w:val="22"/>
        </w:rPr>
        <w:t xml:space="preserve">iversion </w:t>
      </w:r>
      <w:r w:rsidR="00083AB6">
        <w:rPr>
          <w:color w:val="FF0000"/>
          <w:sz w:val="22"/>
        </w:rPr>
        <w:t>P</w:t>
      </w:r>
      <w:r>
        <w:rPr>
          <w:color w:val="FF0000"/>
          <w:sz w:val="22"/>
        </w:rPr>
        <w:t xml:space="preserve">ilot </w:t>
      </w:r>
      <w:r w:rsidR="00083AB6">
        <w:rPr>
          <w:color w:val="FF0000"/>
          <w:sz w:val="22"/>
        </w:rPr>
        <w:t>S</w:t>
      </w:r>
      <w:r>
        <w:rPr>
          <w:color w:val="FF0000"/>
          <w:sz w:val="22"/>
        </w:rPr>
        <w:t xml:space="preserve">cheme </w:t>
      </w:r>
      <w:r w:rsidR="00083AB6">
        <w:rPr>
          <w:color w:val="FF0000"/>
          <w:sz w:val="22"/>
        </w:rPr>
        <w:t>R</w:t>
      </w:r>
      <w:r>
        <w:rPr>
          <w:color w:val="FF0000"/>
          <w:sz w:val="22"/>
        </w:rPr>
        <w:t>eport with the PCC and DPCC.</w:t>
      </w:r>
    </w:p>
    <w:p w14:paraId="4A85F532" w14:textId="77777777" w:rsidR="00C56242" w:rsidRDefault="00C56242" w:rsidP="00716C89">
      <w:pPr>
        <w:rPr>
          <w:color w:val="FF0000"/>
          <w:sz w:val="22"/>
        </w:rPr>
      </w:pPr>
    </w:p>
    <w:p w14:paraId="2B5E43BA" w14:textId="344B6188" w:rsidR="00C56242" w:rsidRDefault="00C56242" w:rsidP="00716C89">
      <w:pPr>
        <w:rPr>
          <w:color w:val="FF0000"/>
          <w:sz w:val="22"/>
        </w:rPr>
      </w:pPr>
      <w:r>
        <w:rPr>
          <w:color w:val="FF0000"/>
          <w:sz w:val="22"/>
        </w:rPr>
        <w:t xml:space="preserve">Action: (JC) to discuss with Supt. Katy Barrow Grint (KBG) the </w:t>
      </w:r>
      <w:r w:rsidR="00083AB6">
        <w:rPr>
          <w:color w:val="FF0000"/>
          <w:sz w:val="22"/>
        </w:rPr>
        <w:t>D</w:t>
      </w:r>
      <w:r>
        <w:rPr>
          <w:color w:val="FF0000"/>
          <w:sz w:val="22"/>
        </w:rPr>
        <w:t xml:space="preserve">rug </w:t>
      </w:r>
      <w:r w:rsidR="00083AB6">
        <w:rPr>
          <w:color w:val="FF0000"/>
          <w:sz w:val="22"/>
        </w:rPr>
        <w:t>T</w:t>
      </w:r>
      <w:r>
        <w:rPr>
          <w:color w:val="FF0000"/>
          <w:sz w:val="22"/>
        </w:rPr>
        <w:t xml:space="preserve">reatment </w:t>
      </w:r>
      <w:r w:rsidR="00083AB6">
        <w:rPr>
          <w:color w:val="FF0000"/>
          <w:sz w:val="22"/>
        </w:rPr>
        <w:t>S</w:t>
      </w:r>
      <w:r>
        <w:rPr>
          <w:color w:val="FF0000"/>
          <w:sz w:val="22"/>
        </w:rPr>
        <w:t>cheme and update the PCC and DPCC.</w:t>
      </w:r>
    </w:p>
    <w:p w14:paraId="4524F215" w14:textId="77777777" w:rsidR="00C56242" w:rsidRDefault="00C56242" w:rsidP="00716C89">
      <w:pPr>
        <w:rPr>
          <w:color w:val="FF0000"/>
          <w:sz w:val="22"/>
        </w:rPr>
      </w:pPr>
    </w:p>
    <w:p w14:paraId="6E439476" w14:textId="2D4AEBA7" w:rsidR="00C56242" w:rsidRDefault="00C56242" w:rsidP="00716C89">
      <w:pPr>
        <w:rPr>
          <w:color w:val="FF0000"/>
          <w:sz w:val="22"/>
        </w:rPr>
      </w:pPr>
      <w:r>
        <w:rPr>
          <w:color w:val="FF0000"/>
          <w:sz w:val="22"/>
        </w:rPr>
        <w:t xml:space="preserve">Action: (JC) to report back </w:t>
      </w:r>
      <w:r w:rsidR="00083AB6">
        <w:rPr>
          <w:color w:val="FF0000"/>
          <w:sz w:val="22"/>
        </w:rPr>
        <w:t xml:space="preserve">and update </w:t>
      </w:r>
      <w:r>
        <w:rPr>
          <w:color w:val="FF0000"/>
          <w:sz w:val="22"/>
        </w:rPr>
        <w:t xml:space="preserve">the PCC as to the West Berkshire </w:t>
      </w:r>
      <w:r w:rsidR="00083AB6">
        <w:rPr>
          <w:color w:val="FF0000"/>
          <w:sz w:val="22"/>
        </w:rPr>
        <w:t>P</w:t>
      </w:r>
      <w:r>
        <w:rPr>
          <w:color w:val="FF0000"/>
          <w:sz w:val="22"/>
        </w:rPr>
        <w:t xml:space="preserve">ilot </w:t>
      </w:r>
      <w:r w:rsidR="00083AB6">
        <w:rPr>
          <w:color w:val="FF0000"/>
          <w:sz w:val="22"/>
        </w:rPr>
        <w:t>S</w:t>
      </w:r>
      <w:r>
        <w:rPr>
          <w:color w:val="FF0000"/>
          <w:sz w:val="22"/>
        </w:rPr>
        <w:t>cheme.</w:t>
      </w:r>
    </w:p>
    <w:p w14:paraId="31A36BF4" w14:textId="77777777" w:rsidR="00C56242" w:rsidRDefault="00C56242" w:rsidP="00716C89">
      <w:pPr>
        <w:rPr>
          <w:color w:val="FF0000"/>
          <w:sz w:val="22"/>
        </w:rPr>
      </w:pPr>
    </w:p>
    <w:p w14:paraId="436AE465" w14:textId="784E36CC" w:rsidR="00C56242" w:rsidRDefault="00C56242" w:rsidP="00716C89">
      <w:pPr>
        <w:rPr>
          <w:color w:val="FF0000"/>
          <w:sz w:val="22"/>
        </w:rPr>
      </w:pPr>
      <w:r>
        <w:rPr>
          <w:color w:val="FF0000"/>
          <w:sz w:val="22"/>
        </w:rPr>
        <w:t xml:space="preserve">Action: Linda Waters (LW) to provide the PCC </w:t>
      </w:r>
      <w:r w:rsidR="00083AB6">
        <w:rPr>
          <w:color w:val="FF0000"/>
          <w:sz w:val="22"/>
        </w:rPr>
        <w:t xml:space="preserve">with </w:t>
      </w:r>
      <w:r>
        <w:rPr>
          <w:color w:val="FF0000"/>
          <w:sz w:val="22"/>
        </w:rPr>
        <w:t xml:space="preserve">financial figures of what it costs to train officers and also the cost of </w:t>
      </w:r>
      <w:r w:rsidR="00083AB6">
        <w:rPr>
          <w:color w:val="FF0000"/>
          <w:sz w:val="22"/>
        </w:rPr>
        <w:t>A</w:t>
      </w:r>
      <w:r>
        <w:rPr>
          <w:color w:val="FF0000"/>
          <w:sz w:val="22"/>
        </w:rPr>
        <w:t xml:space="preserve">pprenticeship </w:t>
      </w:r>
      <w:r w:rsidR="00083AB6">
        <w:rPr>
          <w:color w:val="FF0000"/>
          <w:sz w:val="22"/>
        </w:rPr>
        <w:t>S</w:t>
      </w:r>
      <w:r>
        <w:rPr>
          <w:color w:val="FF0000"/>
          <w:sz w:val="22"/>
        </w:rPr>
        <w:t>chemes.</w:t>
      </w:r>
    </w:p>
    <w:p w14:paraId="03898BA4" w14:textId="77777777" w:rsidR="00C56242" w:rsidRDefault="00C56242" w:rsidP="00716C89">
      <w:pPr>
        <w:rPr>
          <w:color w:val="FF0000"/>
          <w:sz w:val="22"/>
        </w:rPr>
      </w:pPr>
    </w:p>
    <w:p w14:paraId="476787B3" w14:textId="2509DAAF" w:rsidR="00241EAD" w:rsidRDefault="00C56242" w:rsidP="00716C89">
      <w:pPr>
        <w:rPr>
          <w:b/>
          <w:sz w:val="22"/>
        </w:rPr>
      </w:pPr>
      <w:r>
        <w:rPr>
          <w:color w:val="FF0000"/>
          <w:sz w:val="22"/>
        </w:rPr>
        <w:lastRenderedPageBreak/>
        <w:t xml:space="preserve">Action: The PCC to discuss with (JC) issues in High Wycombe that were raised by Mark Khalil in a recently received letter.  Charlotte Roberts (CR) to liaise with Cressida Chapman (CC) to arrange a mutually convenient meeting. </w:t>
      </w:r>
    </w:p>
    <w:p w14:paraId="69CDC0C8" w14:textId="77777777" w:rsidR="00241EAD" w:rsidRDefault="00241EAD" w:rsidP="00716C89">
      <w:pPr>
        <w:rPr>
          <w:b/>
          <w:sz w:val="22"/>
        </w:rPr>
      </w:pPr>
    </w:p>
    <w:p w14:paraId="6D596901" w14:textId="44A5F324" w:rsidR="00460068" w:rsidRPr="00460068" w:rsidRDefault="00460068" w:rsidP="00716C89">
      <w:pPr>
        <w:rPr>
          <w:color w:val="FF0000"/>
          <w:sz w:val="22"/>
        </w:rPr>
      </w:pPr>
      <w:r>
        <w:rPr>
          <w:color w:val="FF0000"/>
          <w:sz w:val="22"/>
        </w:rPr>
        <w:t xml:space="preserve">Action: (JC) to discuss with Amanda Cooper (AC) whether ‘Whats App’ could be added to the new mobile phones within TVP. </w:t>
      </w:r>
    </w:p>
    <w:p w14:paraId="1569A1EF" w14:textId="77777777" w:rsidR="00241EAD" w:rsidRDefault="00241EAD" w:rsidP="00716C89">
      <w:pPr>
        <w:rPr>
          <w:b/>
          <w:sz w:val="22"/>
        </w:rPr>
      </w:pPr>
    </w:p>
    <w:p w14:paraId="51DD6A52" w14:textId="77777777" w:rsidR="005C16F3" w:rsidRDefault="005C16F3" w:rsidP="00716C89">
      <w:pPr>
        <w:rPr>
          <w:b/>
          <w:sz w:val="22"/>
        </w:rPr>
      </w:pPr>
    </w:p>
    <w:p w14:paraId="0402D29C" w14:textId="3D517091" w:rsidR="005C16F3" w:rsidRDefault="005C16F3" w:rsidP="00716C89">
      <w:pPr>
        <w:rPr>
          <w:b/>
          <w:sz w:val="22"/>
        </w:rPr>
      </w:pPr>
      <w:r>
        <w:rPr>
          <w:b/>
          <w:sz w:val="22"/>
        </w:rPr>
        <w:t>51.</w:t>
      </w:r>
      <w:r>
        <w:rPr>
          <w:b/>
          <w:sz w:val="22"/>
        </w:rPr>
        <w:tab/>
        <w:t>TVP STRATEGIC PLAN 2019/20 UPDATE REPORT</w:t>
      </w:r>
    </w:p>
    <w:p w14:paraId="4653EDF4" w14:textId="77777777" w:rsidR="0085587D" w:rsidRDefault="0085587D" w:rsidP="00716C89">
      <w:pPr>
        <w:rPr>
          <w:b/>
          <w:sz w:val="22"/>
        </w:rPr>
      </w:pPr>
    </w:p>
    <w:p w14:paraId="1CDC72FF" w14:textId="6B99358E" w:rsidR="0085587D" w:rsidRDefault="0085587D" w:rsidP="00716C89">
      <w:pPr>
        <w:rPr>
          <w:sz w:val="22"/>
        </w:rPr>
      </w:pPr>
      <w:r>
        <w:rPr>
          <w:sz w:val="22"/>
        </w:rPr>
        <w:t xml:space="preserve">The </w:t>
      </w:r>
      <w:r w:rsidR="0028126D">
        <w:rPr>
          <w:sz w:val="22"/>
        </w:rPr>
        <w:t>r</w:t>
      </w:r>
      <w:r>
        <w:rPr>
          <w:sz w:val="22"/>
        </w:rPr>
        <w:t xml:space="preserve">eport </w:t>
      </w:r>
      <w:r w:rsidR="0028126D">
        <w:rPr>
          <w:sz w:val="22"/>
        </w:rPr>
        <w:t xml:space="preserve">presented by (JC) to </w:t>
      </w:r>
      <w:r>
        <w:rPr>
          <w:sz w:val="22"/>
        </w:rPr>
        <w:t xml:space="preserve">the PCC </w:t>
      </w:r>
      <w:r w:rsidR="0028126D">
        <w:rPr>
          <w:sz w:val="22"/>
        </w:rPr>
        <w:t xml:space="preserve">was </w:t>
      </w:r>
      <w:r>
        <w:rPr>
          <w:sz w:val="22"/>
        </w:rPr>
        <w:t xml:space="preserve">the Chief Constable’s proposed strategic delivery plan </w:t>
      </w:r>
      <w:r w:rsidR="0028126D">
        <w:rPr>
          <w:sz w:val="22"/>
        </w:rPr>
        <w:t xml:space="preserve">for </w:t>
      </w:r>
      <w:r>
        <w:rPr>
          <w:sz w:val="22"/>
        </w:rPr>
        <w:t xml:space="preserve">2019/20 </w:t>
      </w:r>
      <w:r w:rsidR="0028126D">
        <w:rPr>
          <w:sz w:val="22"/>
        </w:rPr>
        <w:t xml:space="preserve">and </w:t>
      </w:r>
      <w:r>
        <w:rPr>
          <w:sz w:val="22"/>
        </w:rPr>
        <w:t>was easily transferable and able to deliver objectives.</w:t>
      </w:r>
      <w:r w:rsidR="0028126D">
        <w:rPr>
          <w:sz w:val="22"/>
        </w:rPr>
        <w:t xml:space="preserve">  The Priority Outcomes were to reduce crime, arrest</w:t>
      </w:r>
      <w:r w:rsidR="00083AB6">
        <w:rPr>
          <w:sz w:val="22"/>
        </w:rPr>
        <w:t>ing</w:t>
      </w:r>
      <w:r w:rsidR="0028126D">
        <w:rPr>
          <w:sz w:val="22"/>
        </w:rPr>
        <w:t xml:space="preserve"> people and improve on core handling.  The blue sections in the report identified operational matters and the green related to work force. </w:t>
      </w:r>
      <w:r w:rsidR="003700E8">
        <w:rPr>
          <w:sz w:val="22"/>
        </w:rPr>
        <w:t>(JC) drew to the PCC’s attention knife crime, organised crime groups and County Lines.</w:t>
      </w:r>
    </w:p>
    <w:p w14:paraId="7D2C5E88" w14:textId="77777777" w:rsidR="003700E8" w:rsidRDefault="003700E8" w:rsidP="00716C89">
      <w:pPr>
        <w:rPr>
          <w:sz w:val="22"/>
        </w:rPr>
      </w:pPr>
    </w:p>
    <w:p w14:paraId="15734298" w14:textId="3361B41F" w:rsidR="003700E8" w:rsidRDefault="003700E8" w:rsidP="00716C89">
      <w:pPr>
        <w:rPr>
          <w:sz w:val="22"/>
        </w:rPr>
      </w:pPr>
      <w:r>
        <w:rPr>
          <w:sz w:val="22"/>
        </w:rPr>
        <w:t xml:space="preserve">The PCC had </w:t>
      </w:r>
      <w:r w:rsidR="00083AB6">
        <w:rPr>
          <w:sz w:val="22"/>
        </w:rPr>
        <w:t xml:space="preserve">significant </w:t>
      </w:r>
      <w:r>
        <w:rPr>
          <w:sz w:val="22"/>
        </w:rPr>
        <w:t>concerns and issues with members of the public losing money from fraud and tackl</w:t>
      </w:r>
      <w:r w:rsidR="00083AB6">
        <w:rPr>
          <w:sz w:val="22"/>
        </w:rPr>
        <w:t>ing</w:t>
      </w:r>
      <w:r>
        <w:rPr>
          <w:sz w:val="22"/>
        </w:rPr>
        <w:t xml:space="preserve"> these issues whilst bringing them to justice.  Jobs and homes had been lost as well as </w:t>
      </w:r>
      <w:r w:rsidR="00AF6810">
        <w:rPr>
          <w:sz w:val="22"/>
        </w:rPr>
        <w:t xml:space="preserve">some </w:t>
      </w:r>
      <w:r>
        <w:rPr>
          <w:sz w:val="22"/>
        </w:rPr>
        <w:t>suicides because of this.  (JC) noted that it was not the volume of offences with fraud but the livelihood and so many people were extremely vulnerable.  This was a worry to the PCC as this was naturally expanding very fast and affecting a lot of people. (JC) noted that 80% of fraud was in fact preventable.</w:t>
      </w:r>
    </w:p>
    <w:p w14:paraId="62745A3A" w14:textId="77777777" w:rsidR="003700E8" w:rsidRDefault="003700E8" w:rsidP="00716C89">
      <w:pPr>
        <w:rPr>
          <w:sz w:val="22"/>
        </w:rPr>
      </w:pPr>
    </w:p>
    <w:p w14:paraId="24B64E85" w14:textId="64324BFB" w:rsidR="003700E8" w:rsidRDefault="003700E8" w:rsidP="00716C89">
      <w:pPr>
        <w:rPr>
          <w:sz w:val="22"/>
        </w:rPr>
      </w:pPr>
      <w:r>
        <w:rPr>
          <w:sz w:val="22"/>
        </w:rPr>
        <w:t xml:space="preserve">The PCC noted that there was a large hangar in Bicester where he saw </w:t>
      </w:r>
      <w:r w:rsidR="00D654B1">
        <w:rPr>
          <w:sz w:val="22"/>
        </w:rPr>
        <w:t xml:space="preserve">a lot of </w:t>
      </w:r>
      <w:r>
        <w:rPr>
          <w:sz w:val="22"/>
        </w:rPr>
        <w:t>vehicles</w:t>
      </w:r>
      <w:r w:rsidR="00140F51">
        <w:rPr>
          <w:sz w:val="22"/>
        </w:rPr>
        <w:t xml:space="preserve"> and wondered where they went.  (JC) confirmed that these were the proceeds of criminal activity and they were auctioned off with a company TVP used.  (LW) confirmed that the company sells the vehicles and the proceeds of crime </w:t>
      </w:r>
      <w:r w:rsidR="00083AB6">
        <w:rPr>
          <w:sz w:val="22"/>
        </w:rPr>
        <w:t>we</w:t>
      </w:r>
      <w:r w:rsidR="00140F51">
        <w:rPr>
          <w:sz w:val="22"/>
        </w:rPr>
        <w:t>re then paid back into a central fund.  (LW) would provide the PCC with the figures on what is sold when a vehicle is confiscated.</w:t>
      </w:r>
    </w:p>
    <w:p w14:paraId="0F3BD580" w14:textId="77777777" w:rsidR="00140F51" w:rsidRDefault="00140F51" w:rsidP="00716C89">
      <w:pPr>
        <w:rPr>
          <w:sz w:val="22"/>
        </w:rPr>
      </w:pPr>
    </w:p>
    <w:p w14:paraId="057A521D" w14:textId="1B1DD6AE" w:rsidR="00140F51" w:rsidRDefault="00140F51" w:rsidP="00716C89">
      <w:pPr>
        <w:rPr>
          <w:sz w:val="22"/>
        </w:rPr>
      </w:pPr>
      <w:r>
        <w:rPr>
          <w:sz w:val="22"/>
        </w:rPr>
        <w:t>There ha</w:t>
      </w:r>
      <w:r w:rsidR="00083AB6">
        <w:rPr>
          <w:sz w:val="22"/>
        </w:rPr>
        <w:t>d</w:t>
      </w:r>
      <w:r>
        <w:rPr>
          <w:sz w:val="22"/>
        </w:rPr>
        <w:t xml:space="preserve"> been a number of issues in relation to ‘101’ which has caused an increase in volume but matters </w:t>
      </w:r>
      <w:r w:rsidR="00083AB6">
        <w:rPr>
          <w:sz w:val="22"/>
        </w:rPr>
        <w:t>we</w:t>
      </w:r>
      <w:r>
        <w:rPr>
          <w:sz w:val="22"/>
        </w:rPr>
        <w:t>re</w:t>
      </w:r>
      <w:r w:rsidR="00083AB6">
        <w:rPr>
          <w:sz w:val="22"/>
        </w:rPr>
        <w:t xml:space="preserve"> now</w:t>
      </w:r>
      <w:r>
        <w:rPr>
          <w:sz w:val="22"/>
        </w:rPr>
        <w:t xml:space="preserve"> in place to reduce this.</w:t>
      </w:r>
    </w:p>
    <w:p w14:paraId="173C308C" w14:textId="77777777" w:rsidR="00140F51" w:rsidRDefault="00140F51" w:rsidP="00716C89">
      <w:pPr>
        <w:rPr>
          <w:sz w:val="22"/>
        </w:rPr>
      </w:pPr>
    </w:p>
    <w:p w14:paraId="74A7BD3B" w14:textId="144469D3" w:rsidR="00140F51" w:rsidRDefault="00140F51" w:rsidP="00716C89">
      <w:pPr>
        <w:rPr>
          <w:sz w:val="22"/>
        </w:rPr>
      </w:pPr>
      <w:r>
        <w:rPr>
          <w:sz w:val="22"/>
        </w:rPr>
        <w:t xml:space="preserve">(JC) summarised the operational priority outcomes for 2019/20 on the penultimate page of the presentation.  Both the PCC and DPCC thought it was an excellent and positive document and thanks were given to Cat Hemmings (CH) for her contribution </w:t>
      </w:r>
      <w:r w:rsidR="00083AB6">
        <w:rPr>
          <w:sz w:val="22"/>
        </w:rPr>
        <w:t xml:space="preserve">to </w:t>
      </w:r>
      <w:r>
        <w:rPr>
          <w:sz w:val="22"/>
        </w:rPr>
        <w:t>the document.</w:t>
      </w:r>
    </w:p>
    <w:p w14:paraId="629F5AEA" w14:textId="77777777" w:rsidR="00140F51" w:rsidRDefault="00140F51" w:rsidP="00716C89">
      <w:pPr>
        <w:rPr>
          <w:sz w:val="22"/>
        </w:rPr>
      </w:pPr>
    </w:p>
    <w:p w14:paraId="166FA94A" w14:textId="1ED2921B" w:rsidR="00140F51" w:rsidRDefault="00140F51" w:rsidP="00716C89">
      <w:pPr>
        <w:rPr>
          <w:color w:val="FF0000"/>
          <w:sz w:val="22"/>
        </w:rPr>
      </w:pPr>
      <w:r>
        <w:rPr>
          <w:color w:val="FF0000"/>
          <w:sz w:val="22"/>
        </w:rPr>
        <w:t>Action: (LW) to provide the PCC with figures from the sale of the proceeds of crime that go back into the central fund.</w:t>
      </w:r>
    </w:p>
    <w:p w14:paraId="54BE2D09" w14:textId="77777777" w:rsidR="00140F51" w:rsidRPr="00140F51" w:rsidRDefault="00140F51" w:rsidP="00716C89">
      <w:pPr>
        <w:rPr>
          <w:color w:val="FF0000"/>
          <w:sz w:val="22"/>
        </w:rPr>
      </w:pPr>
    </w:p>
    <w:p w14:paraId="3CC559B3" w14:textId="77777777" w:rsidR="005C16F3" w:rsidRDefault="005C16F3" w:rsidP="00716C89">
      <w:pPr>
        <w:rPr>
          <w:b/>
          <w:sz w:val="22"/>
        </w:rPr>
      </w:pPr>
    </w:p>
    <w:p w14:paraId="221F18E4" w14:textId="1424A98D" w:rsidR="005C16F3" w:rsidRDefault="005C16F3" w:rsidP="00716C89">
      <w:pPr>
        <w:rPr>
          <w:b/>
          <w:sz w:val="22"/>
        </w:rPr>
      </w:pPr>
      <w:r>
        <w:rPr>
          <w:b/>
          <w:sz w:val="22"/>
        </w:rPr>
        <w:t>52.</w:t>
      </w:r>
      <w:r>
        <w:rPr>
          <w:b/>
          <w:sz w:val="22"/>
        </w:rPr>
        <w:tab/>
        <w:t>REVENUE MONITORING REPORT 2018/19</w:t>
      </w:r>
    </w:p>
    <w:p w14:paraId="18CAB6FE" w14:textId="77777777" w:rsidR="00140F51" w:rsidRDefault="00140F51" w:rsidP="00716C89">
      <w:pPr>
        <w:rPr>
          <w:b/>
          <w:sz w:val="22"/>
        </w:rPr>
      </w:pPr>
    </w:p>
    <w:p w14:paraId="33DAF7EE" w14:textId="070E9016" w:rsidR="00140F51" w:rsidRDefault="004D48D6" w:rsidP="00716C89">
      <w:pPr>
        <w:rPr>
          <w:sz w:val="22"/>
        </w:rPr>
      </w:pPr>
      <w:r>
        <w:rPr>
          <w:sz w:val="22"/>
        </w:rPr>
        <w:t>At the end of February 2019 the overall 2018/19 revenue budget was £1.120m underspent against profile and the year-end position is predicted to be a net overspend of £0.473m assuming the recommendations in the report were agreed.</w:t>
      </w:r>
    </w:p>
    <w:p w14:paraId="68C274FA" w14:textId="77777777" w:rsidR="004D48D6" w:rsidRDefault="004D48D6" w:rsidP="00716C89">
      <w:pPr>
        <w:rPr>
          <w:sz w:val="22"/>
        </w:rPr>
      </w:pPr>
    </w:p>
    <w:p w14:paraId="54BA59BB" w14:textId="1D484396" w:rsidR="004D48D6" w:rsidRDefault="004D48D6" w:rsidP="00716C89">
      <w:pPr>
        <w:rPr>
          <w:sz w:val="22"/>
        </w:rPr>
      </w:pPr>
      <w:r>
        <w:rPr>
          <w:sz w:val="22"/>
        </w:rPr>
        <w:t>The police officer approved establishment as at March 2018 was 3,878 FTE.  Since February 2018, there were further approved changes, agreed by CCMT, with a net decrease of 37 FTE, plus the removal of 29 FTE since the regional CTFSO now classified as a holding account.  Therefore, the revised year-end target was therefore 3,812 FTE.  The Force started the year with 3,770 FTE which was 108 officers below the approved establishment but this was anticipated with the PCC’s approval to recruit a further 90 case investigators.  The Force’s strength was currently 3,762 officers (which was 50 below establishment) and the year-end strength was forecasted to be 3,823 officers.</w:t>
      </w:r>
    </w:p>
    <w:p w14:paraId="04DFEB08" w14:textId="77777777" w:rsidR="004D48D6" w:rsidRDefault="004D48D6" w:rsidP="00716C89">
      <w:pPr>
        <w:rPr>
          <w:sz w:val="22"/>
        </w:rPr>
      </w:pPr>
    </w:p>
    <w:p w14:paraId="78559560" w14:textId="5769A1B9" w:rsidR="004D48D6" w:rsidRDefault="004D48D6" w:rsidP="00716C89">
      <w:pPr>
        <w:rPr>
          <w:sz w:val="22"/>
        </w:rPr>
      </w:pPr>
      <w:r>
        <w:rPr>
          <w:sz w:val="22"/>
        </w:rPr>
        <w:t>In relation to police staff, the strength at the end of February was 2,949 FTEs which included case investigators and agency workers with the year-end establishment target was 3,011 FTEs which comprised the combined Force operational establishment and OPCC of 2,701 FTE.</w:t>
      </w:r>
    </w:p>
    <w:p w14:paraId="0A6E10B9" w14:textId="77777777" w:rsidR="004D48D6" w:rsidRDefault="004D48D6" w:rsidP="00716C89">
      <w:pPr>
        <w:rPr>
          <w:sz w:val="22"/>
        </w:rPr>
      </w:pPr>
    </w:p>
    <w:p w14:paraId="3B844CDE" w14:textId="57931ACE" w:rsidR="004D48D6" w:rsidRDefault="004D48D6" w:rsidP="00716C89">
      <w:pPr>
        <w:rPr>
          <w:sz w:val="22"/>
        </w:rPr>
      </w:pPr>
      <w:r>
        <w:rPr>
          <w:sz w:val="22"/>
        </w:rPr>
        <w:t>The training budgets were stretched and an overspend of £0.300m was forecast due to a combination of factors that included additional police officer intakes and professionalising roles.</w:t>
      </w:r>
    </w:p>
    <w:p w14:paraId="5D85BB4F" w14:textId="77777777" w:rsidR="004D48D6" w:rsidRDefault="004D48D6" w:rsidP="00716C89">
      <w:pPr>
        <w:rPr>
          <w:sz w:val="22"/>
        </w:rPr>
      </w:pPr>
    </w:p>
    <w:p w14:paraId="4FCBCED1" w14:textId="025DB1EB" w:rsidR="004D48D6" w:rsidRDefault="004D48D6" w:rsidP="00716C89">
      <w:pPr>
        <w:rPr>
          <w:sz w:val="22"/>
        </w:rPr>
      </w:pPr>
      <w:r>
        <w:rPr>
          <w:sz w:val="22"/>
        </w:rPr>
        <w:t>The budgets for property maintenance, facilities and estates had been reviewed which led to an anticipated underspend of £0.500m.  This reflected issues with working staff into the departments and some intended work or projects that were due to start this financial year, had not progressed as intended. At this time £0.330m was not needed for project work.  A saving of £0.170m on estates costs for energy, waste and water was projected due to it being a milder winter.</w:t>
      </w:r>
    </w:p>
    <w:p w14:paraId="1CA14788" w14:textId="77777777" w:rsidR="00BD434D" w:rsidRDefault="00BD434D" w:rsidP="00716C89">
      <w:pPr>
        <w:rPr>
          <w:sz w:val="22"/>
        </w:rPr>
      </w:pPr>
    </w:p>
    <w:p w14:paraId="7241DF6E" w14:textId="2EBBF79C" w:rsidR="00BD434D" w:rsidRDefault="00BD434D" w:rsidP="00716C89">
      <w:pPr>
        <w:rPr>
          <w:sz w:val="22"/>
        </w:rPr>
      </w:pPr>
      <w:r>
        <w:rPr>
          <w:sz w:val="22"/>
        </w:rPr>
        <w:t>The ICT revenue budget was expected to underspend by approximately £0.100m due to a number of variances across the ICT budgets. (LW) recommended that a sum be put into the capital to pick up the extended capital scheme.  The current year’s budget set aside £0.250m to contribute to the permanent security improvements in Windsor</w:t>
      </w:r>
      <w:r w:rsidR="00EF44DE">
        <w:rPr>
          <w:sz w:val="22"/>
        </w:rPr>
        <w:t xml:space="preserve"> although this will not be required until 2019-20.  </w:t>
      </w:r>
    </w:p>
    <w:p w14:paraId="7C16E759" w14:textId="77777777" w:rsidR="00EF44DE" w:rsidRDefault="00EF44DE" w:rsidP="00716C89">
      <w:pPr>
        <w:rPr>
          <w:sz w:val="22"/>
        </w:rPr>
      </w:pPr>
    </w:p>
    <w:p w14:paraId="15B62CB5" w14:textId="6D43E0E2" w:rsidR="00EF44DE" w:rsidRDefault="00EF44DE" w:rsidP="00716C89">
      <w:pPr>
        <w:rPr>
          <w:sz w:val="22"/>
        </w:rPr>
      </w:pPr>
      <w:r>
        <w:rPr>
          <w:sz w:val="22"/>
        </w:rPr>
        <w:t xml:space="preserve">The figures in the Appendix and in the report </w:t>
      </w:r>
      <w:r w:rsidR="00083AB6">
        <w:rPr>
          <w:sz w:val="22"/>
        </w:rPr>
        <w:t>we</w:t>
      </w:r>
      <w:r>
        <w:rPr>
          <w:sz w:val="22"/>
        </w:rPr>
        <w:t xml:space="preserve">re assuming the recommendations by the PCC </w:t>
      </w:r>
      <w:r w:rsidR="00083AB6">
        <w:rPr>
          <w:sz w:val="22"/>
        </w:rPr>
        <w:t>we</w:t>
      </w:r>
      <w:r>
        <w:rPr>
          <w:sz w:val="22"/>
        </w:rPr>
        <w:t xml:space="preserve">re approved </w:t>
      </w:r>
      <w:r w:rsidR="00083AB6">
        <w:rPr>
          <w:sz w:val="22"/>
        </w:rPr>
        <w:t xml:space="preserve">today </w:t>
      </w:r>
      <w:r>
        <w:rPr>
          <w:sz w:val="22"/>
        </w:rPr>
        <w:t xml:space="preserve">and </w:t>
      </w:r>
      <w:r w:rsidR="00083AB6">
        <w:rPr>
          <w:sz w:val="22"/>
        </w:rPr>
        <w:t xml:space="preserve">would be </w:t>
      </w:r>
      <w:r>
        <w:rPr>
          <w:sz w:val="22"/>
        </w:rPr>
        <w:t xml:space="preserve">taken from Revenue to Capital.  </w:t>
      </w:r>
    </w:p>
    <w:p w14:paraId="6E20AE62" w14:textId="77777777" w:rsidR="00CA1140" w:rsidRDefault="00CA1140" w:rsidP="00716C89">
      <w:pPr>
        <w:rPr>
          <w:sz w:val="22"/>
        </w:rPr>
      </w:pPr>
    </w:p>
    <w:p w14:paraId="7706342C" w14:textId="440CE5F6" w:rsidR="00680855" w:rsidRDefault="00680855" w:rsidP="00680855">
      <w:pPr>
        <w:rPr>
          <w:rFonts w:cs="Arial"/>
          <w:sz w:val="22"/>
          <w:szCs w:val="22"/>
        </w:rPr>
      </w:pPr>
      <w:r w:rsidRPr="000F7E3E">
        <w:rPr>
          <w:rFonts w:cs="Arial"/>
          <w:sz w:val="22"/>
          <w:szCs w:val="22"/>
        </w:rPr>
        <w:t xml:space="preserve">The PCC </w:t>
      </w:r>
      <w:r>
        <w:rPr>
          <w:rFonts w:cs="Arial"/>
          <w:sz w:val="22"/>
          <w:szCs w:val="22"/>
        </w:rPr>
        <w:t>wa</w:t>
      </w:r>
      <w:r w:rsidRPr="000F7E3E">
        <w:rPr>
          <w:rFonts w:cs="Arial"/>
          <w:sz w:val="22"/>
          <w:szCs w:val="22"/>
        </w:rPr>
        <w:t>s asked</w:t>
      </w:r>
      <w:r>
        <w:rPr>
          <w:rFonts w:cs="Arial"/>
          <w:sz w:val="22"/>
          <w:szCs w:val="22"/>
        </w:rPr>
        <w:t xml:space="preserve"> to:</w:t>
      </w:r>
    </w:p>
    <w:p w14:paraId="4CBFD4C1" w14:textId="77777777" w:rsidR="00680855" w:rsidRDefault="00680855" w:rsidP="00680855">
      <w:pPr>
        <w:rPr>
          <w:rFonts w:cs="Arial"/>
          <w:sz w:val="22"/>
          <w:szCs w:val="22"/>
        </w:rPr>
      </w:pPr>
    </w:p>
    <w:p w14:paraId="440C8627" w14:textId="77777777" w:rsidR="00680855" w:rsidRDefault="00680855" w:rsidP="00680855">
      <w:pPr>
        <w:pStyle w:val="ListParagraph"/>
        <w:numPr>
          <w:ilvl w:val="0"/>
          <w:numId w:val="48"/>
        </w:numPr>
        <w:rPr>
          <w:sz w:val="22"/>
        </w:rPr>
      </w:pPr>
      <w:r w:rsidRPr="003C618C">
        <w:rPr>
          <w:sz w:val="22"/>
        </w:rPr>
        <w:t>NOTE the contents of this report.</w:t>
      </w:r>
    </w:p>
    <w:p w14:paraId="2F835DE9" w14:textId="106E041F" w:rsidR="00680855" w:rsidRPr="00E81DDD" w:rsidRDefault="00680855" w:rsidP="00680855">
      <w:pPr>
        <w:pStyle w:val="ListParagraph"/>
        <w:numPr>
          <w:ilvl w:val="0"/>
          <w:numId w:val="48"/>
        </w:numPr>
        <w:jc w:val="both"/>
        <w:rPr>
          <w:bCs/>
          <w:sz w:val="22"/>
        </w:rPr>
      </w:pPr>
      <w:r>
        <w:rPr>
          <w:sz w:val="22"/>
        </w:rPr>
        <w:t>Appropriate £0.250m into the Improvement and Performance reserve for the one-off support work in Windsor to improve security as this will not now take place in 2018-19.</w:t>
      </w:r>
    </w:p>
    <w:p w14:paraId="3DDEF000" w14:textId="77777777" w:rsidR="00680855" w:rsidRDefault="00680855" w:rsidP="00680855"/>
    <w:p w14:paraId="3F843469" w14:textId="3339D57C" w:rsidR="00680855" w:rsidRDefault="00680855" w:rsidP="00680855">
      <w:pPr>
        <w:rPr>
          <w:sz w:val="22"/>
        </w:rPr>
      </w:pPr>
      <w:r>
        <w:t>The PCC approved a</w:t>
      </w:r>
      <w:r w:rsidRPr="00967395">
        <w:t xml:space="preserve">dditional direct revenue </w:t>
      </w:r>
      <w:r>
        <w:t>financing of £0.711m</w:t>
      </w:r>
      <w:r w:rsidRPr="00967395">
        <w:t xml:space="preserve"> </w:t>
      </w:r>
      <w:r>
        <w:t>as detailed in the capital monitoring report.</w:t>
      </w:r>
    </w:p>
    <w:p w14:paraId="4DDB7437" w14:textId="77777777" w:rsidR="00680855" w:rsidRDefault="00680855" w:rsidP="00716C89">
      <w:pPr>
        <w:rPr>
          <w:sz w:val="22"/>
        </w:rPr>
      </w:pPr>
    </w:p>
    <w:p w14:paraId="19EF8096" w14:textId="77777777" w:rsidR="005C16F3" w:rsidRDefault="005C16F3" w:rsidP="00716C89">
      <w:pPr>
        <w:rPr>
          <w:b/>
          <w:sz w:val="22"/>
        </w:rPr>
      </w:pPr>
    </w:p>
    <w:p w14:paraId="5D893C65" w14:textId="239FE57C" w:rsidR="005C16F3" w:rsidRDefault="005C16F3" w:rsidP="00716C89">
      <w:pPr>
        <w:rPr>
          <w:b/>
          <w:sz w:val="22"/>
        </w:rPr>
      </w:pPr>
      <w:r>
        <w:rPr>
          <w:b/>
          <w:sz w:val="22"/>
        </w:rPr>
        <w:t>53.</w:t>
      </w:r>
      <w:r>
        <w:rPr>
          <w:b/>
          <w:sz w:val="22"/>
        </w:rPr>
        <w:tab/>
        <w:t>CAPITAL MONITORING REPORT 2018/19</w:t>
      </w:r>
    </w:p>
    <w:p w14:paraId="55591AFA" w14:textId="77777777" w:rsidR="00CA1140" w:rsidRDefault="00CA1140" w:rsidP="00716C89">
      <w:pPr>
        <w:rPr>
          <w:b/>
          <w:sz w:val="22"/>
        </w:rPr>
      </w:pPr>
    </w:p>
    <w:p w14:paraId="566CBD6A" w14:textId="5BE3857A" w:rsidR="00CA1140" w:rsidRDefault="00CD2316" w:rsidP="00716C89">
      <w:pPr>
        <w:rPr>
          <w:sz w:val="22"/>
        </w:rPr>
      </w:pPr>
      <w:r>
        <w:rPr>
          <w:sz w:val="22"/>
        </w:rPr>
        <w:t>The Monitoring Report was the fourth and final report for 2018/19 which included spend and known commitments up to the end of February 2019 although there was still a lot of work to do to confirm figures and asked the PCC to approve the increase of the overall capital programme by £1.109m.  The report reflected changes to the MTCP budget which was approved by the PCC in January 2019.</w:t>
      </w:r>
    </w:p>
    <w:p w14:paraId="42849208" w14:textId="77777777" w:rsidR="00CD2316" w:rsidRDefault="00CD2316" w:rsidP="00716C89">
      <w:pPr>
        <w:rPr>
          <w:sz w:val="22"/>
        </w:rPr>
      </w:pPr>
    </w:p>
    <w:p w14:paraId="72E30848" w14:textId="23247FBF" w:rsidR="00CD2316" w:rsidRDefault="00CD2316" w:rsidP="00716C89">
      <w:pPr>
        <w:rPr>
          <w:sz w:val="22"/>
        </w:rPr>
      </w:pPr>
      <w:r>
        <w:rPr>
          <w:sz w:val="22"/>
        </w:rPr>
        <w:t>In relation to the Hambledon police house at Mill End, the purchase of the remaining leasehold interest for this property would allow the disposal of this site and has been included in the MTCP plans.  The purchase would be funded by Direct Revenue Financing of £0.124m this year.</w:t>
      </w:r>
    </w:p>
    <w:p w14:paraId="07D2200E" w14:textId="77777777" w:rsidR="00CD2316" w:rsidRDefault="00CD2316" w:rsidP="00716C89">
      <w:pPr>
        <w:rPr>
          <w:sz w:val="22"/>
        </w:rPr>
      </w:pPr>
    </w:p>
    <w:p w14:paraId="4A4580E0" w14:textId="2708DBCD" w:rsidR="00CD2316" w:rsidRDefault="00CD2316" w:rsidP="00716C89">
      <w:pPr>
        <w:rPr>
          <w:sz w:val="22"/>
        </w:rPr>
      </w:pPr>
      <w:r>
        <w:rPr>
          <w:sz w:val="22"/>
        </w:rPr>
        <w:t>Following cancellation of the joint scheme with RBFRS, TVP ha</w:t>
      </w:r>
      <w:r w:rsidR="00381EF2">
        <w:rPr>
          <w:sz w:val="22"/>
        </w:rPr>
        <w:t>d</w:t>
      </w:r>
      <w:r>
        <w:rPr>
          <w:sz w:val="22"/>
        </w:rPr>
        <w:t xml:space="preserve"> commenced a review of other possible solutions to replace the current facility.  An initial options report </w:t>
      </w:r>
      <w:r w:rsidR="00381EF2">
        <w:rPr>
          <w:sz w:val="22"/>
        </w:rPr>
        <w:t>wa</w:t>
      </w:r>
      <w:r>
        <w:rPr>
          <w:sz w:val="22"/>
        </w:rPr>
        <w:t xml:space="preserve">s due to be considered by CCMT in March and any updates would be reported to the PCC.  Ian Thompson (IT) confirmed that the deposit had </w:t>
      </w:r>
      <w:r w:rsidR="00381EF2">
        <w:rPr>
          <w:sz w:val="22"/>
        </w:rPr>
        <w:t xml:space="preserve">in fact </w:t>
      </w:r>
      <w:r>
        <w:rPr>
          <w:sz w:val="22"/>
        </w:rPr>
        <w:t>been paid this morning.</w:t>
      </w:r>
    </w:p>
    <w:p w14:paraId="65F11E5E" w14:textId="77777777" w:rsidR="00CD2316" w:rsidRDefault="00CD2316" w:rsidP="00716C89">
      <w:pPr>
        <w:rPr>
          <w:sz w:val="22"/>
        </w:rPr>
      </w:pPr>
    </w:p>
    <w:p w14:paraId="648FC9B3" w14:textId="51F5F70A" w:rsidR="00CD2316" w:rsidRDefault="00CD2316" w:rsidP="00716C89">
      <w:pPr>
        <w:rPr>
          <w:sz w:val="22"/>
        </w:rPr>
      </w:pPr>
      <w:r>
        <w:rPr>
          <w:sz w:val="22"/>
        </w:rPr>
        <w:t>Mon</w:t>
      </w:r>
      <w:r w:rsidR="00381EF2">
        <w:rPr>
          <w:sz w:val="22"/>
        </w:rPr>
        <w:t xml:space="preserve">ies </w:t>
      </w:r>
      <w:r>
        <w:rPr>
          <w:sz w:val="22"/>
        </w:rPr>
        <w:t xml:space="preserve">had been set aside </w:t>
      </w:r>
      <w:r w:rsidR="00376682">
        <w:rPr>
          <w:sz w:val="22"/>
        </w:rPr>
        <w:t xml:space="preserve">for the purchase of the road safety camera upgrades and some monies were given direct </w:t>
      </w:r>
      <w:r w:rsidR="00E56745">
        <w:rPr>
          <w:sz w:val="22"/>
        </w:rPr>
        <w:t>f</w:t>
      </w:r>
      <w:r w:rsidR="00376682">
        <w:rPr>
          <w:sz w:val="22"/>
        </w:rPr>
        <w:t>rom national bodies</w:t>
      </w:r>
      <w:r w:rsidR="00381EF2">
        <w:rPr>
          <w:sz w:val="22"/>
        </w:rPr>
        <w:t>.</w:t>
      </w:r>
      <w:r w:rsidR="00376682">
        <w:rPr>
          <w:sz w:val="22"/>
        </w:rPr>
        <w:t xml:space="preserve">  Budget re-phasing of £1.041m was now projected, due to the timing of purchases.</w:t>
      </w:r>
    </w:p>
    <w:p w14:paraId="7A792CAA" w14:textId="77777777" w:rsidR="00E56745" w:rsidRDefault="00E56745" w:rsidP="00716C89">
      <w:pPr>
        <w:rPr>
          <w:sz w:val="22"/>
        </w:rPr>
      </w:pPr>
    </w:p>
    <w:p w14:paraId="15B37CEE" w14:textId="27522741" w:rsidR="00E56745" w:rsidRDefault="00E56745" w:rsidP="00716C89">
      <w:pPr>
        <w:rPr>
          <w:sz w:val="22"/>
        </w:rPr>
      </w:pPr>
      <w:r>
        <w:rPr>
          <w:sz w:val="22"/>
        </w:rPr>
        <w:t>(LW) went through the Contact Management Platform (CMP) and continue</w:t>
      </w:r>
      <w:r w:rsidR="00381EF2">
        <w:rPr>
          <w:sz w:val="22"/>
        </w:rPr>
        <w:t>d</w:t>
      </w:r>
      <w:r>
        <w:rPr>
          <w:sz w:val="22"/>
        </w:rPr>
        <w:t xml:space="preserve"> to progress towards the go-live date.  The most likely dat</w:t>
      </w:r>
      <w:r w:rsidR="00381EF2">
        <w:rPr>
          <w:sz w:val="22"/>
        </w:rPr>
        <w:t>e</w:t>
      </w:r>
      <w:r>
        <w:rPr>
          <w:sz w:val="22"/>
        </w:rPr>
        <w:t xml:space="preserve"> now being revised to June 2019 from its original date in</w:t>
      </w:r>
      <w:r w:rsidR="00381EF2">
        <w:rPr>
          <w:sz w:val="22"/>
        </w:rPr>
        <w:t xml:space="preserve"> March.  The remaining £0.209m would be f</w:t>
      </w:r>
      <w:r>
        <w:rPr>
          <w:sz w:val="22"/>
        </w:rPr>
        <w:t>unded by Optimism Bias reserve.</w:t>
      </w:r>
    </w:p>
    <w:p w14:paraId="2BB44602" w14:textId="02568C6A" w:rsidR="00E56745" w:rsidRDefault="00E56745" w:rsidP="00716C89">
      <w:pPr>
        <w:rPr>
          <w:sz w:val="22"/>
        </w:rPr>
      </w:pPr>
      <w:r>
        <w:rPr>
          <w:sz w:val="22"/>
        </w:rPr>
        <w:t xml:space="preserve"> </w:t>
      </w:r>
    </w:p>
    <w:p w14:paraId="022B7803" w14:textId="0FB74D8A" w:rsidR="00E56745" w:rsidRDefault="00E56745" w:rsidP="00716C89">
      <w:pPr>
        <w:rPr>
          <w:sz w:val="22"/>
        </w:rPr>
      </w:pPr>
      <w:r>
        <w:rPr>
          <w:sz w:val="22"/>
        </w:rPr>
        <w:t>Rollout of the new Android phones ha</w:t>
      </w:r>
      <w:r w:rsidR="00381EF2">
        <w:rPr>
          <w:sz w:val="22"/>
        </w:rPr>
        <w:t>d</w:t>
      </w:r>
      <w:r>
        <w:rPr>
          <w:sz w:val="22"/>
        </w:rPr>
        <w:t xml:space="preserve"> now started and a limited number of laptops with the W10 build </w:t>
      </w:r>
      <w:r w:rsidR="00381EF2">
        <w:rPr>
          <w:sz w:val="22"/>
        </w:rPr>
        <w:t>we</w:t>
      </w:r>
      <w:r>
        <w:rPr>
          <w:sz w:val="22"/>
        </w:rPr>
        <w:t>re being trialled and tested within ICT.</w:t>
      </w:r>
    </w:p>
    <w:p w14:paraId="5790DD06" w14:textId="77777777" w:rsidR="00E56745" w:rsidRDefault="00E56745" w:rsidP="00716C89">
      <w:pPr>
        <w:rPr>
          <w:sz w:val="22"/>
        </w:rPr>
      </w:pPr>
    </w:p>
    <w:p w14:paraId="10647723" w14:textId="66788BF2" w:rsidR="00E56745" w:rsidRDefault="00E56745" w:rsidP="00716C89">
      <w:pPr>
        <w:rPr>
          <w:sz w:val="22"/>
        </w:rPr>
      </w:pPr>
      <w:r>
        <w:rPr>
          <w:sz w:val="22"/>
        </w:rPr>
        <w:t xml:space="preserve">The ‘Chorus’ project </w:t>
      </w:r>
      <w:r w:rsidR="00381EF2">
        <w:rPr>
          <w:sz w:val="22"/>
        </w:rPr>
        <w:t>wa</w:t>
      </w:r>
      <w:r>
        <w:rPr>
          <w:sz w:val="22"/>
        </w:rPr>
        <w:t xml:space="preserve">s to provide an improved networked </w:t>
      </w:r>
      <w:r w:rsidR="002F253E">
        <w:rPr>
          <w:sz w:val="22"/>
        </w:rPr>
        <w:t>solution for the existing Chorus systems within Forces to increase efficiency for staff within Crime Investigation</w:t>
      </w:r>
      <w:r w:rsidR="00381EF2">
        <w:rPr>
          <w:sz w:val="22"/>
        </w:rPr>
        <w:t>s</w:t>
      </w:r>
      <w:r w:rsidR="002F253E">
        <w:rPr>
          <w:sz w:val="22"/>
        </w:rPr>
        <w:t>.</w:t>
      </w:r>
    </w:p>
    <w:p w14:paraId="3C906E56" w14:textId="77777777" w:rsidR="002F253E" w:rsidRDefault="002F253E" w:rsidP="00716C89">
      <w:pPr>
        <w:rPr>
          <w:sz w:val="22"/>
        </w:rPr>
      </w:pPr>
    </w:p>
    <w:p w14:paraId="0BE5BC9A" w14:textId="7F9E60FE" w:rsidR="002F253E" w:rsidRDefault="002F253E" w:rsidP="00716C89">
      <w:pPr>
        <w:rPr>
          <w:sz w:val="22"/>
        </w:rPr>
      </w:pPr>
      <w:r>
        <w:rPr>
          <w:sz w:val="22"/>
        </w:rPr>
        <w:t xml:space="preserve">The ERP programme </w:t>
      </w:r>
      <w:r w:rsidR="00381EF2">
        <w:rPr>
          <w:sz w:val="22"/>
        </w:rPr>
        <w:t>wa</w:t>
      </w:r>
      <w:r>
        <w:rPr>
          <w:sz w:val="22"/>
        </w:rPr>
        <w:t>s progressing through the build phase and towards the System Interface Testing (SIT) phase.  The payroll provider was changed in December and there ha</w:t>
      </w:r>
      <w:r w:rsidR="00381EF2">
        <w:rPr>
          <w:sz w:val="22"/>
        </w:rPr>
        <w:t>d</w:t>
      </w:r>
      <w:r>
        <w:rPr>
          <w:sz w:val="22"/>
        </w:rPr>
        <w:t xml:space="preserve"> been some technology design issues.  The Force </w:t>
      </w:r>
      <w:r w:rsidR="00381EF2">
        <w:rPr>
          <w:sz w:val="22"/>
        </w:rPr>
        <w:t>we</w:t>
      </w:r>
      <w:r>
        <w:rPr>
          <w:sz w:val="22"/>
        </w:rPr>
        <w:t>re going through the revised plan on Thursday this week. The date for T</w:t>
      </w:r>
      <w:r w:rsidR="00381EF2">
        <w:rPr>
          <w:sz w:val="22"/>
        </w:rPr>
        <w:t>hames Valley</w:t>
      </w:r>
      <w:r>
        <w:rPr>
          <w:sz w:val="22"/>
        </w:rPr>
        <w:t xml:space="preserve"> </w:t>
      </w:r>
      <w:r w:rsidR="00381EF2">
        <w:rPr>
          <w:sz w:val="22"/>
        </w:rPr>
        <w:t xml:space="preserve">would </w:t>
      </w:r>
      <w:r>
        <w:rPr>
          <w:sz w:val="22"/>
        </w:rPr>
        <w:t>be late May early June 2020.  (LW) would shortly be speaking to lawyers in London in relation to a legal agreement being put in place.</w:t>
      </w:r>
    </w:p>
    <w:p w14:paraId="595A7A7A" w14:textId="77777777" w:rsidR="00E56745" w:rsidRDefault="00E56745" w:rsidP="00716C89">
      <w:pPr>
        <w:rPr>
          <w:sz w:val="22"/>
        </w:rPr>
      </w:pPr>
    </w:p>
    <w:p w14:paraId="7F197C53" w14:textId="17EF2363" w:rsidR="00E56745" w:rsidRPr="00E56745" w:rsidRDefault="00E56745" w:rsidP="00716C89">
      <w:pPr>
        <w:rPr>
          <w:color w:val="FF0000"/>
          <w:sz w:val="22"/>
        </w:rPr>
      </w:pPr>
      <w:r>
        <w:rPr>
          <w:color w:val="FF0000"/>
          <w:sz w:val="22"/>
        </w:rPr>
        <w:t>Action: (LW) would pass slide D365 to the PCC in relation to ERP.</w:t>
      </w:r>
    </w:p>
    <w:p w14:paraId="35494E11" w14:textId="77777777" w:rsidR="00CD2316" w:rsidRDefault="00CD2316" w:rsidP="00716C89">
      <w:pPr>
        <w:rPr>
          <w:sz w:val="22"/>
        </w:rPr>
      </w:pPr>
    </w:p>
    <w:p w14:paraId="2FF6E22E" w14:textId="08A84E17" w:rsidR="00680855" w:rsidRPr="00680855" w:rsidRDefault="00680855" w:rsidP="00680855">
      <w:pPr>
        <w:rPr>
          <w:rFonts w:cs="Arial"/>
          <w:sz w:val="22"/>
          <w:szCs w:val="22"/>
        </w:rPr>
      </w:pPr>
      <w:r w:rsidRPr="00680855">
        <w:rPr>
          <w:rFonts w:cs="Arial"/>
          <w:sz w:val="22"/>
          <w:szCs w:val="22"/>
        </w:rPr>
        <w:t xml:space="preserve">The PCC </w:t>
      </w:r>
      <w:r>
        <w:rPr>
          <w:rFonts w:cs="Arial"/>
          <w:sz w:val="22"/>
          <w:szCs w:val="22"/>
        </w:rPr>
        <w:t xml:space="preserve">was </w:t>
      </w:r>
      <w:r w:rsidRPr="00680855">
        <w:rPr>
          <w:rFonts w:cs="Arial"/>
          <w:sz w:val="22"/>
          <w:szCs w:val="22"/>
        </w:rPr>
        <w:t>requested to:</w:t>
      </w:r>
    </w:p>
    <w:p w14:paraId="2D4FDE65" w14:textId="77777777" w:rsidR="00680855" w:rsidRDefault="00680855" w:rsidP="00680855">
      <w:pPr>
        <w:rPr>
          <w:rFonts w:cs="Arial"/>
          <w:sz w:val="22"/>
          <w:szCs w:val="22"/>
        </w:rPr>
      </w:pPr>
    </w:p>
    <w:p w14:paraId="6C13A0CE" w14:textId="77777777" w:rsidR="00680855" w:rsidRDefault="00680855" w:rsidP="00680855">
      <w:pPr>
        <w:pStyle w:val="ListParagraph"/>
        <w:numPr>
          <w:ilvl w:val="2"/>
          <w:numId w:val="49"/>
        </w:numPr>
        <w:ind w:left="738" w:hanging="567"/>
        <w:jc w:val="both"/>
        <w:rPr>
          <w:sz w:val="22"/>
        </w:rPr>
      </w:pPr>
      <w:r>
        <w:rPr>
          <w:sz w:val="22"/>
        </w:rPr>
        <w:t>Acknowledge &amp; Approve t</w:t>
      </w:r>
      <w:r w:rsidRPr="001F39C2">
        <w:rPr>
          <w:sz w:val="22"/>
        </w:rPr>
        <w:t>he up</w:t>
      </w:r>
      <w:r>
        <w:rPr>
          <w:sz w:val="22"/>
        </w:rPr>
        <w:t xml:space="preserve">dated 2018/19 Capital Budget at £33.577m, which reflects additional Direct Revenue Funding of £0.711m and £0.209m of new funding from the Optimism Bias (OB) Reserve covering:  </w:t>
      </w:r>
    </w:p>
    <w:p w14:paraId="480CF00D" w14:textId="77777777" w:rsidR="00680855" w:rsidRDefault="00680855" w:rsidP="00680855">
      <w:pPr>
        <w:pStyle w:val="ListParagraph"/>
        <w:ind w:left="738"/>
        <w:jc w:val="both"/>
        <w:rPr>
          <w:sz w:val="22"/>
        </w:rPr>
      </w:pPr>
    </w:p>
    <w:p w14:paraId="33620E3F" w14:textId="77777777" w:rsidR="00680855" w:rsidRPr="00D80521" w:rsidRDefault="00680855" w:rsidP="00680855">
      <w:pPr>
        <w:pStyle w:val="ListParagraph"/>
        <w:numPr>
          <w:ilvl w:val="2"/>
          <w:numId w:val="49"/>
        </w:numPr>
        <w:ind w:left="1305" w:hanging="709"/>
        <w:jc w:val="both"/>
        <w:rPr>
          <w:sz w:val="22"/>
        </w:rPr>
      </w:pPr>
      <w:r w:rsidRPr="00D80521">
        <w:rPr>
          <w:sz w:val="22"/>
        </w:rPr>
        <w:t>£0.124m for Hambledon lease interest purchase</w:t>
      </w:r>
    </w:p>
    <w:p w14:paraId="53C95376" w14:textId="77777777" w:rsidR="00680855" w:rsidRDefault="00680855" w:rsidP="00680855">
      <w:pPr>
        <w:pStyle w:val="ListParagraph"/>
        <w:numPr>
          <w:ilvl w:val="2"/>
          <w:numId w:val="49"/>
        </w:numPr>
        <w:ind w:left="1305" w:hanging="709"/>
        <w:jc w:val="both"/>
        <w:rPr>
          <w:sz w:val="22"/>
        </w:rPr>
      </w:pPr>
      <w:r>
        <w:rPr>
          <w:sz w:val="22"/>
        </w:rPr>
        <w:t>£0.120m for Chorus project</w:t>
      </w:r>
    </w:p>
    <w:p w14:paraId="6D93C821" w14:textId="77777777" w:rsidR="00680855" w:rsidRDefault="00680855" w:rsidP="00680855">
      <w:pPr>
        <w:pStyle w:val="ListParagraph"/>
        <w:numPr>
          <w:ilvl w:val="2"/>
          <w:numId w:val="49"/>
        </w:numPr>
        <w:ind w:left="1305" w:hanging="709"/>
        <w:jc w:val="both"/>
        <w:rPr>
          <w:sz w:val="22"/>
        </w:rPr>
      </w:pPr>
      <w:r>
        <w:rPr>
          <w:sz w:val="22"/>
        </w:rPr>
        <w:t>£0.068m for PSD Proactive monitoring</w:t>
      </w:r>
    </w:p>
    <w:p w14:paraId="59719A44" w14:textId="77777777" w:rsidR="00680855" w:rsidRDefault="00680855" w:rsidP="00680855">
      <w:pPr>
        <w:pStyle w:val="ListParagraph"/>
        <w:numPr>
          <w:ilvl w:val="2"/>
          <w:numId w:val="49"/>
        </w:numPr>
        <w:ind w:left="1305" w:hanging="709"/>
        <w:jc w:val="both"/>
        <w:rPr>
          <w:sz w:val="22"/>
        </w:rPr>
      </w:pPr>
      <w:r>
        <w:rPr>
          <w:sz w:val="22"/>
        </w:rPr>
        <w:t>£0.088m for DEMS 360 – phase 2 of the BWV storage programme.</w:t>
      </w:r>
    </w:p>
    <w:p w14:paraId="7637FB57" w14:textId="77777777" w:rsidR="00680855" w:rsidRDefault="00680855" w:rsidP="00680855">
      <w:pPr>
        <w:pStyle w:val="ListParagraph"/>
        <w:numPr>
          <w:ilvl w:val="2"/>
          <w:numId w:val="49"/>
        </w:numPr>
        <w:ind w:left="1305" w:hanging="709"/>
        <w:jc w:val="both"/>
        <w:rPr>
          <w:sz w:val="22"/>
        </w:rPr>
      </w:pPr>
      <w:r>
        <w:rPr>
          <w:sz w:val="22"/>
        </w:rPr>
        <w:t xml:space="preserve">£0.311m DRF &amp; £0.209m Optimism Bias reserve funding for CMP delays. </w:t>
      </w:r>
    </w:p>
    <w:p w14:paraId="5CB2343C" w14:textId="77777777" w:rsidR="00680855" w:rsidRPr="000C548C" w:rsidRDefault="00680855" w:rsidP="00680855">
      <w:pPr>
        <w:overflowPunct/>
        <w:autoSpaceDE/>
        <w:autoSpaceDN/>
        <w:adjustRightInd/>
        <w:rPr>
          <w:rFonts w:cs="Arial"/>
          <w:sz w:val="22"/>
          <w:szCs w:val="22"/>
        </w:rPr>
      </w:pPr>
    </w:p>
    <w:p w14:paraId="3B8AD6E9" w14:textId="77777777" w:rsidR="00680855" w:rsidRPr="00791E3A" w:rsidRDefault="00680855" w:rsidP="00680855">
      <w:pPr>
        <w:pStyle w:val="ListParagraph"/>
        <w:numPr>
          <w:ilvl w:val="2"/>
          <w:numId w:val="49"/>
        </w:numPr>
        <w:ind w:left="738" w:hanging="567"/>
        <w:jc w:val="both"/>
        <w:rPr>
          <w:sz w:val="22"/>
        </w:rPr>
      </w:pPr>
      <w:r>
        <w:rPr>
          <w:sz w:val="22"/>
        </w:rPr>
        <w:t xml:space="preserve">Note that £0.189m of the previously approved PSN budget for 2019/20 has been brought forward to 2018/19 to reflect spend profiles. </w:t>
      </w:r>
    </w:p>
    <w:p w14:paraId="09EA20DE" w14:textId="77777777" w:rsidR="00680855" w:rsidRDefault="00680855" w:rsidP="00D566CE">
      <w:pPr>
        <w:pStyle w:val="ListParagraph"/>
        <w:numPr>
          <w:ilvl w:val="2"/>
          <w:numId w:val="49"/>
        </w:numPr>
        <w:ind w:left="738" w:hanging="567"/>
        <w:jc w:val="both"/>
        <w:rPr>
          <w:sz w:val="22"/>
        </w:rPr>
      </w:pPr>
      <w:r w:rsidRPr="00680855">
        <w:rPr>
          <w:sz w:val="22"/>
        </w:rPr>
        <w:t xml:space="preserve">Note the active budget, spend to date and identified budget variances. </w:t>
      </w:r>
    </w:p>
    <w:p w14:paraId="3F65FA7B" w14:textId="75FB9D71" w:rsidR="00680855" w:rsidRPr="00680855" w:rsidRDefault="00680855" w:rsidP="00D566CE">
      <w:pPr>
        <w:pStyle w:val="ListParagraph"/>
        <w:numPr>
          <w:ilvl w:val="2"/>
          <w:numId w:val="49"/>
        </w:numPr>
        <w:ind w:left="738" w:hanging="567"/>
        <w:jc w:val="both"/>
        <w:rPr>
          <w:sz w:val="22"/>
        </w:rPr>
      </w:pPr>
      <w:r w:rsidRPr="00680855">
        <w:rPr>
          <w:sz w:val="22"/>
        </w:rPr>
        <w:t>Note the indicative final re-phasing of budget.</w:t>
      </w:r>
    </w:p>
    <w:p w14:paraId="464714D4" w14:textId="77777777" w:rsidR="00680855" w:rsidRDefault="00680855" w:rsidP="00716C89">
      <w:pPr>
        <w:rPr>
          <w:sz w:val="22"/>
        </w:rPr>
      </w:pPr>
    </w:p>
    <w:p w14:paraId="74DED50A" w14:textId="77777777" w:rsidR="005C16F3" w:rsidRDefault="005C16F3" w:rsidP="00716C89">
      <w:pPr>
        <w:rPr>
          <w:b/>
          <w:sz w:val="22"/>
        </w:rPr>
      </w:pPr>
    </w:p>
    <w:p w14:paraId="3644E17A" w14:textId="78582E8F" w:rsidR="00BC24B8" w:rsidRDefault="005C16F3" w:rsidP="00716C89">
      <w:pPr>
        <w:rPr>
          <w:b/>
          <w:sz w:val="22"/>
        </w:rPr>
      </w:pPr>
      <w:r>
        <w:rPr>
          <w:b/>
          <w:sz w:val="22"/>
        </w:rPr>
        <w:t>54.</w:t>
      </w:r>
      <w:r>
        <w:rPr>
          <w:b/>
          <w:sz w:val="22"/>
        </w:rPr>
        <w:tab/>
        <w:t>OPCC STRATEGIC DELIVERY PLAN 2018/19</w:t>
      </w:r>
    </w:p>
    <w:p w14:paraId="11E1C6E8" w14:textId="77777777" w:rsidR="00E56745" w:rsidRDefault="00E56745" w:rsidP="00716C89">
      <w:pPr>
        <w:rPr>
          <w:b/>
          <w:sz w:val="22"/>
        </w:rPr>
      </w:pPr>
    </w:p>
    <w:p w14:paraId="1D986576" w14:textId="54AF6885" w:rsidR="00E56745" w:rsidRDefault="001E3927" w:rsidP="00716C89">
      <w:pPr>
        <w:rPr>
          <w:sz w:val="22"/>
        </w:rPr>
      </w:pPr>
      <w:r>
        <w:rPr>
          <w:sz w:val="22"/>
        </w:rPr>
        <w:t>Paul Hammond (PH) went through the update of the OPCC Strategic Delivery Plan 2018/19</w:t>
      </w:r>
      <w:r w:rsidR="0034088B">
        <w:rPr>
          <w:sz w:val="22"/>
        </w:rPr>
        <w:t xml:space="preserve"> and presented this to the PCC.  The 2018/19 Plan had been slightly amended in light of this.  The Plan</w:t>
      </w:r>
      <w:r w:rsidR="00381EF2">
        <w:rPr>
          <w:sz w:val="22"/>
        </w:rPr>
        <w:t xml:space="preserve"> had 61 separate actions covering t</w:t>
      </w:r>
      <w:r w:rsidR="0034088B">
        <w:rPr>
          <w:sz w:val="22"/>
        </w:rPr>
        <w:t xml:space="preserve">he nine business areas.  54 of </w:t>
      </w:r>
      <w:r w:rsidR="00381EF2">
        <w:rPr>
          <w:sz w:val="22"/>
        </w:rPr>
        <w:t xml:space="preserve">these areas </w:t>
      </w:r>
      <w:r w:rsidR="0034088B">
        <w:rPr>
          <w:sz w:val="22"/>
        </w:rPr>
        <w:t>were green statuses and 7 were amber.  None were show stoppers</w:t>
      </w:r>
      <w:r w:rsidR="00960B48">
        <w:rPr>
          <w:sz w:val="22"/>
        </w:rPr>
        <w:t xml:space="preserve"> and </w:t>
      </w:r>
      <w:r w:rsidR="008364D2">
        <w:rPr>
          <w:sz w:val="22"/>
        </w:rPr>
        <w:t xml:space="preserve">were </w:t>
      </w:r>
      <w:r w:rsidR="00960B48">
        <w:rPr>
          <w:sz w:val="22"/>
        </w:rPr>
        <w:t>of no immediate concern</w:t>
      </w:r>
      <w:r w:rsidR="008364D2">
        <w:rPr>
          <w:sz w:val="22"/>
        </w:rPr>
        <w:t xml:space="preserve"> and the vast majority were on target</w:t>
      </w:r>
      <w:r w:rsidR="00960B48">
        <w:rPr>
          <w:sz w:val="22"/>
        </w:rPr>
        <w:t>.</w:t>
      </w:r>
      <w:r w:rsidR="0034088B">
        <w:rPr>
          <w:sz w:val="22"/>
        </w:rPr>
        <w:t xml:space="preserve"> </w:t>
      </w:r>
      <w:r w:rsidR="008364D2">
        <w:rPr>
          <w:sz w:val="22"/>
        </w:rPr>
        <w:t xml:space="preserve"> The amber statuses would follow through to the 19/20 Plan.</w:t>
      </w:r>
    </w:p>
    <w:p w14:paraId="798031D4" w14:textId="77777777" w:rsidR="008364D2" w:rsidRDefault="008364D2" w:rsidP="00716C89">
      <w:pPr>
        <w:rPr>
          <w:sz w:val="22"/>
        </w:rPr>
      </w:pPr>
    </w:p>
    <w:p w14:paraId="460486D4" w14:textId="36B553C0" w:rsidR="008364D2" w:rsidRDefault="008364D2" w:rsidP="00716C89">
      <w:pPr>
        <w:rPr>
          <w:sz w:val="22"/>
        </w:rPr>
      </w:pPr>
      <w:r>
        <w:rPr>
          <w:sz w:val="22"/>
        </w:rPr>
        <w:t>The PCC NOTED the progress with the OPCC Strategic Delivery Plan 2018/19.</w:t>
      </w:r>
    </w:p>
    <w:p w14:paraId="6F4063ED" w14:textId="77777777" w:rsidR="001E3927" w:rsidRPr="00E56745" w:rsidRDefault="001E3927" w:rsidP="00716C89">
      <w:pPr>
        <w:rPr>
          <w:sz w:val="22"/>
        </w:rPr>
      </w:pPr>
    </w:p>
    <w:p w14:paraId="69FF2A85" w14:textId="77777777" w:rsidR="005C16F3" w:rsidRDefault="005C16F3" w:rsidP="00716C89">
      <w:pPr>
        <w:rPr>
          <w:b/>
          <w:sz w:val="22"/>
        </w:rPr>
      </w:pPr>
    </w:p>
    <w:p w14:paraId="7D0F12D8" w14:textId="79950BD8" w:rsidR="005C16F3" w:rsidRDefault="005C16F3" w:rsidP="00716C89">
      <w:pPr>
        <w:rPr>
          <w:b/>
          <w:sz w:val="22"/>
        </w:rPr>
      </w:pPr>
      <w:r>
        <w:rPr>
          <w:b/>
          <w:sz w:val="22"/>
        </w:rPr>
        <w:t>55.</w:t>
      </w:r>
      <w:r>
        <w:rPr>
          <w:b/>
          <w:sz w:val="22"/>
        </w:rPr>
        <w:tab/>
      </w:r>
      <w:r w:rsidR="003D486F">
        <w:rPr>
          <w:b/>
          <w:sz w:val="22"/>
        </w:rPr>
        <w:t>OPCC STRATEGIC DELIVERY PLAN 2019/20</w:t>
      </w:r>
    </w:p>
    <w:p w14:paraId="655AB355" w14:textId="77777777" w:rsidR="008364D2" w:rsidRDefault="008364D2" w:rsidP="00716C89">
      <w:pPr>
        <w:rPr>
          <w:b/>
          <w:sz w:val="22"/>
        </w:rPr>
      </w:pPr>
    </w:p>
    <w:p w14:paraId="1CA4C345" w14:textId="6C37289E" w:rsidR="008364D2" w:rsidRDefault="008364D2" w:rsidP="00716C89">
      <w:pPr>
        <w:rPr>
          <w:sz w:val="22"/>
        </w:rPr>
      </w:pPr>
      <w:r>
        <w:rPr>
          <w:sz w:val="22"/>
        </w:rPr>
        <w:t xml:space="preserve">The Strategic Delivery Plan 2019/20 was a live internal management document reviewed and refreshed regularly during internal meetings and the PCC confirmed he had had sight of this document.  At this time there were no RAG statuses </w:t>
      </w:r>
      <w:r w:rsidR="00D26BDA">
        <w:rPr>
          <w:sz w:val="22"/>
        </w:rPr>
        <w:t xml:space="preserve">included </w:t>
      </w:r>
      <w:r w:rsidR="00381EF2">
        <w:rPr>
          <w:sz w:val="22"/>
        </w:rPr>
        <w:t>i</w:t>
      </w:r>
      <w:r w:rsidR="00D26BDA">
        <w:rPr>
          <w:sz w:val="22"/>
        </w:rPr>
        <w:t>n the Plan.</w:t>
      </w:r>
    </w:p>
    <w:p w14:paraId="7CD1BD58" w14:textId="77777777" w:rsidR="008364D2" w:rsidRDefault="008364D2" w:rsidP="00716C89">
      <w:pPr>
        <w:rPr>
          <w:sz w:val="22"/>
        </w:rPr>
      </w:pPr>
    </w:p>
    <w:p w14:paraId="639EA1C3" w14:textId="1559DF2B" w:rsidR="008364D2" w:rsidRDefault="008364D2" w:rsidP="00716C89">
      <w:pPr>
        <w:rPr>
          <w:sz w:val="22"/>
        </w:rPr>
      </w:pPr>
      <w:r>
        <w:rPr>
          <w:sz w:val="22"/>
        </w:rPr>
        <w:t xml:space="preserve">The PCC NOTED the OPCC Strategic Delivery Plan 2019/20. </w:t>
      </w:r>
    </w:p>
    <w:p w14:paraId="24D0C68C" w14:textId="77777777" w:rsidR="00D26BDA" w:rsidRPr="008364D2" w:rsidRDefault="00D26BDA" w:rsidP="00716C89">
      <w:pPr>
        <w:rPr>
          <w:sz w:val="22"/>
        </w:rPr>
      </w:pPr>
    </w:p>
    <w:p w14:paraId="175A2DA0" w14:textId="77777777" w:rsidR="003D486F" w:rsidRDefault="003D486F" w:rsidP="00716C89">
      <w:pPr>
        <w:rPr>
          <w:b/>
          <w:sz w:val="22"/>
        </w:rPr>
      </w:pPr>
    </w:p>
    <w:p w14:paraId="65F44A90" w14:textId="330A9ACD" w:rsidR="003D486F" w:rsidRDefault="003D486F" w:rsidP="00716C89">
      <w:pPr>
        <w:rPr>
          <w:b/>
          <w:sz w:val="22"/>
        </w:rPr>
      </w:pPr>
      <w:r>
        <w:rPr>
          <w:b/>
          <w:sz w:val="22"/>
        </w:rPr>
        <w:t>56.</w:t>
      </w:r>
      <w:r>
        <w:rPr>
          <w:b/>
          <w:sz w:val="22"/>
        </w:rPr>
        <w:tab/>
        <w:t>JOINT CORPORATE GOVERNANCE FRAMEWORK 2019/20</w:t>
      </w:r>
    </w:p>
    <w:p w14:paraId="785DAF70" w14:textId="77777777" w:rsidR="00D26BDA" w:rsidRDefault="00D26BDA" w:rsidP="00716C89">
      <w:pPr>
        <w:rPr>
          <w:b/>
          <w:sz w:val="22"/>
        </w:rPr>
      </w:pPr>
    </w:p>
    <w:p w14:paraId="3D205FF0" w14:textId="7FA3E422" w:rsidR="00D26BDA" w:rsidRDefault="00D26BDA" w:rsidP="00716C89">
      <w:pPr>
        <w:rPr>
          <w:sz w:val="22"/>
        </w:rPr>
      </w:pPr>
      <w:r>
        <w:rPr>
          <w:sz w:val="22"/>
        </w:rPr>
        <w:t>The Corporate Governance Framework provided clarity on the way the PCC and Chief Constable govern</w:t>
      </w:r>
      <w:r w:rsidR="00381EF2">
        <w:rPr>
          <w:sz w:val="22"/>
        </w:rPr>
        <w:t>ed</w:t>
      </w:r>
      <w:r>
        <w:rPr>
          <w:sz w:val="22"/>
        </w:rPr>
        <w:t xml:space="preserve"> both jointly and separately to ensure they </w:t>
      </w:r>
      <w:r w:rsidR="00381EF2">
        <w:rPr>
          <w:sz w:val="22"/>
        </w:rPr>
        <w:t>we</w:t>
      </w:r>
      <w:r>
        <w:rPr>
          <w:sz w:val="22"/>
        </w:rPr>
        <w:t xml:space="preserve">re conducting business in the right way and for the right reasons.  The Framework had been approved by both the PCC and Chief Constable during </w:t>
      </w:r>
      <w:r w:rsidR="00381EF2">
        <w:rPr>
          <w:sz w:val="22"/>
        </w:rPr>
        <w:t>a</w:t>
      </w:r>
      <w:r>
        <w:rPr>
          <w:sz w:val="22"/>
        </w:rPr>
        <w:t xml:space="preserve"> Level 1 public meeting on 29 March 2018 and reviewed and scrutinised by the Joint Independent Audit Committee on 15 March 2019.</w:t>
      </w:r>
    </w:p>
    <w:p w14:paraId="0DBB7997" w14:textId="77777777" w:rsidR="00D26BDA" w:rsidRDefault="00D26BDA" w:rsidP="00716C89">
      <w:pPr>
        <w:rPr>
          <w:sz w:val="22"/>
        </w:rPr>
      </w:pPr>
    </w:p>
    <w:p w14:paraId="6C344DE6" w14:textId="34BEDDAC" w:rsidR="00D26BDA" w:rsidRDefault="00D26BDA" w:rsidP="00716C89">
      <w:pPr>
        <w:rPr>
          <w:sz w:val="22"/>
        </w:rPr>
      </w:pPr>
      <w:r>
        <w:rPr>
          <w:sz w:val="22"/>
        </w:rPr>
        <w:t xml:space="preserve">IT ensured that the Joint Corporate Governance Framework would now be </w:t>
      </w:r>
      <w:r w:rsidR="00381EF2">
        <w:rPr>
          <w:sz w:val="22"/>
        </w:rPr>
        <w:t>added</w:t>
      </w:r>
      <w:r>
        <w:rPr>
          <w:sz w:val="22"/>
        </w:rPr>
        <w:t xml:space="preserve"> to the OPCC website.</w:t>
      </w:r>
    </w:p>
    <w:p w14:paraId="2DF68F02" w14:textId="77777777" w:rsidR="00D26BDA" w:rsidRDefault="00D26BDA" w:rsidP="00716C89">
      <w:pPr>
        <w:rPr>
          <w:sz w:val="22"/>
        </w:rPr>
      </w:pPr>
    </w:p>
    <w:p w14:paraId="145403CE" w14:textId="60DA5E4C" w:rsidR="00D26BDA" w:rsidRDefault="00D26BDA" w:rsidP="00716C89">
      <w:pPr>
        <w:rPr>
          <w:sz w:val="22"/>
        </w:rPr>
      </w:pPr>
      <w:r>
        <w:rPr>
          <w:sz w:val="22"/>
        </w:rPr>
        <w:t xml:space="preserve">The PCC </w:t>
      </w:r>
      <w:r w:rsidR="00AF6810">
        <w:rPr>
          <w:sz w:val="22"/>
        </w:rPr>
        <w:t xml:space="preserve">and Chief Constable </w:t>
      </w:r>
      <w:r>
        <w:rPr>
          <w:sz w:val="22"/>
        </w:rPr>
        <w:t xml:space="preserve">APPROVED the Joint Corporate Governance Framework </w:t>
      </w:r>
      <w:r w:rsidR="00AF6810">
        <w:rPr>
          <w:sz w:val="22"/>
        </w:rPr>
        <w:t xml:space="preserve">for </w:t>
      </w:r>
      <w:r>
        <w:rPr>
          <w:sz w:val="22"/>
        </w:rPr>
        <w:t>2019/20.</w:t>
      </w:r>
    </w:p>
    <w:p w14:paraId="194AE6A1" w14:textId="77777777" w:rsidR="00381EF2" w:rsidRDefault="00381EF2" w:rsidP="00716C89">
      <w:pPr>
        <w:rPr>
          <w:sz w:val="22"/>
        </w:rPr>
      </w:pPr>
    </w:p>
    <w:p w14:paraId="697E6B7A" w14:textId="34607D60" w:rsidR="00381EF2" w:rsidRPr="00381EF2" w:rsidRDefault="00381EF2" w:rsidP="00716C89">
      <w:pPr>
        <w:rPr>
          <w:color w:val="FF0000"/>
          <w:sz w:val="22"/>
        </w:rPr>
      </w:pPr>
      <w:r>
        <w:rPr>
          <w:color w:val="FF0000"/>
          <w:sz w:val="22"/>
        </w:rPr>
        <w:t xml:space="preserve">Action: IT to ensure the Joint Corporate Governance Framework </w:t>
      </w:r>
      <w:r w:rsidR="00AF6810">
        <w:rPr>
          <w:color w:val="FF0000"/>
          <w:sz w:val="22"/>
        </w:rPr>
        <w:t xml:space="preserve">is </w:t>
      </w:r>
      <w:r>
        <w:rPr>
          <w:color w:val="FF0000"/>
          <w:sz w:val="22"/>
        </w:rPr>
        <w:t xml:space="preserve">added to </w:t>
      </w:r>
      <w:r w:rsidR="00AF6810">
        <w:rPr>
          <w:color w:val="FF0000"/>
          <w:sz w:val="22"/>
        </w:rPr>
        <w:t xml:space="preserve">both </w:t>
      </w:r>
      <w:r>
        <w:rPr>
          <w:color w:val="FF0000"/>
          <w:sz w:val="22"/>
        </w:rPr>
        <w:t xml:space="preserve">the </w:t>
      </w:r>
      <w:r w:rsidR="00AF6810">
        <w:rPr>
          <w:color w:val="FF0000"/>
          <w:sz w:val="22"/>
        </w:rPr>
        <w:t xml:space="preserve">Force and </w:t>
      </w:r>
      <w:r>
        <w:rPr>
          <w:color w:val="FF0000"/>
          <w:sz w:val="22"/>
        </w:rPr>
        <w:t>OPCC website</w:t>
      </w:r>
      <w:r w:rsidR="00AF6810">
        <w:rPr>
          <w:color w:val="FF0000"/>
          <w:sz w:val="22"/>
        </w:rPr>
        <w:t>s</w:t>
      </w:r>
      <w:r>
        <w:rPr>
          <w:color w:val="FF0000"/>
          <w:sz w:val="22"/>
        </w:rPr>
        <w:t>.</w:t>
      </w:r>
    </w:p>
    <w:p w14:paraId="52F05BE4" w14:textId="77777777" w:rsidR="00D26BDA" w:rsidRPr="00D26BDA" w:rsidRDefault="00D26BDA" w:rsidP="00716C89">
      <w:pPr>
        <w:rPr>
          <w:sz w:val="22"/>
        </w:rPr>
      </w:pPr>
    </w:p>
    <w:p w14:paraId="67DD6222" w14:textId="77777777" w:rsidR="003D486F" w:rsidRDefault="003D486F" w:rsidP="00716C89">
      <w:pPr>
        <w:rPr>
          <w:b/>
          <w:sz w:val="22"/>
        </w:rPr>
      </w:pPr>
    </w:p>
    <w:p w14:paraId="38E18C41" w14:textId="6E6C5818" w:rsidR="003D486F" w:rsidRDefault="003D486F" w:rsidP="00716C89">
      <w:pPr>
        <w:rPr>
          <w:b/>
          <w:sz w:val="22"/>
        </w:rPr>
      </w:pPr>
      <w:r>
        <w:rPr>
          <w:b/>
          <w:sz w:val="22"/>
        </w:rPr>
        <w:t>57.</w:t>
      </w:r>
      <w:r>
        <w:rPr>
          <w:b/>
          <w:sz w:val="22"/>
        </w:rPr>
        <w:tab/>
        <w:t>HMICFRS UPDATE REPORT</w:t>
      </w:r>
    </w:p>
    <w:p w14:paraId="6A021922" w14:textId="77777777" w:rsidR="00D26BDA" w:rsidRDefault="00D26BDA" w:rsidP="00716C89">
      <w:pPr>
        <w:rPr>
          <w:b/>
          <w:sz w:val="22"/>
        </w:rPr>
      </w:pPr>
    </w:p>
    <w:p w14:paraId="6D8B2F5A" w14:textId="0EEB3BCB" w:rsidR="00D26BDA" w:rsidRDefault="00D26BDA" w:rsidP="00716C89">
      <w:pPr>
        <w:rPr>
          <w:sz w:val="22"/>
        </w:rPr>
      </w:pPr>
      <w:r>
        <w:rPr>
          <w:sz w:val="22"/>
        </w:rPr>
        <w:t xml:space="preserve">(JC) summarised where the Force were in relation to </w:t>
      </w:r>
      <w:r w:rsidR="00381EF2">
        <w:rPr>
          <w:sz w:val="22"/>
        </w:rPr>
        <w:t>p</w:t>
      </w:r>
      <w:r>
        <w:rPr>
          <w:sz w:val="22"/>
        </w:rPr>
        <w:t xml:space="preserve">olicing and mental health and public perceptions of policing and </w:t>
      </w:r>
      <w:r w:rsidR="00381EF2">
        <w:rPr>
          <w:sz w:val="22"/>
        </w:rPr>
        <w:t xml:space="preserve">went on to discuss </w:t>
      </w:r>
      <w:r>
        <w:rPr>
          <w:sz w:val="22"/>
        </w:rPr>
        <w:t xml:space="preserve">the five recommendations set out in the report.  A meeting between (JC) and (PH) would take place once a response had been received from HMICFRS.   The links provided at the top of the document were useful and were available on the Thames Valley Police website.  In general terms, the report gave a positive picture given the environment Thames Valley Police were currently in. </w:t>
      </w:r>
    </w:p>
    <w:p w14:paraId="57F00C41" w14:textId="77777777" w:rsidR="009B734E" w:rsidRDefault="009B734E" w:rsidP="00716C89">
      <w:pPr>
        <w:rPr>
          <w:sz w:val="22"/>
        </w:rPr>
      </w:pPr>
    </w:p>
    <w:p w14:paraId="2F12EF1C" w14:textId="032E97A6" w:rsidR="009B734E" w:rsidRDefault="009B734E" w:rsidP="00716C89">
      <w:pPr>
        <w:rPr>
          <w:sz w:val="22"/>
        </w:rPr>
      </w:pPr>
      <w:r>
        <w:rPr>
          <w:sz w:val="22"/>
        </w:rPr>
        <w:t xml:space="preserve">(JC) would discuss and review communications in relation to Facebook as this was the most popular means of communication. </w:t>
      </w:r>
    </w:p>
    <w:p w14:paraId="71619CFB" w14:textId="77777777" w:rsidR="00381EF2" w:rsidRDefault="00381EF2" w:rsidP="00716C89">
      <w:pPr>
        <w:rPr>
          <w:sz w:val="22"/>
        </w:rPr>
      </w:pPr>
    </w:p>
    <w:p w14:paraId="700101DB" w14:textId="3B942F9C" w:rsidR="00D26BDA" w:rsidRDefault="00D26BDA" w:rsidP="00716C89">
      <w:pPr>
        <w:rPr>
          <w:sz w:val="22"/>
        </w:rPr>
      </w:pPr>
      <w:r>
        <w:rPr>
          <w:sz w:val="22"/>
        </w:rPr>
        <w:t xml:space="preserve">The PCC NOTED the HMICFRS update report </w:t>
      </w:r>
      <w:r w:rsidR="009B734E">
        <w:rPr>
          <w:sz w:val="22"/>
        </w:rPr>
        <w:t xml:space="preserve">as appropriate </w:t>
      </w:r>
      <w:r>
        <w:rPr>
          <w:sz w:val="22"/>
        </w:rPr>
        <w:t xml:space="preserve">and to provide a response to HMICFRS but </w:t>
      </w:r>
      <w:r w:rsidR="009B734E">
        <w:rPr>
          <w:sz w:val="22"/>
        </w:rPr>
        <w:t xml:space="preserve">the PCC </w:t>
      </w:r>
      <w:r>
        <w:rPr>
          <w:sz w:val="22"/>
        </w:rPr>
        <w:t>would await HMICFRS to supply guidance before a response was sent.</w:t>
      </w:r>
    </w:p>
    <w:p w14:paraId="19B3072A" w14:textId="77777777" w:rsidR="00D26BDA" w:rsidRDefault="00D26BDA" w:rsidP="00716C89">
      <w:pPr>
        <w:rPr>
          <w:sz w:val="22"/>
        </w:rPr>
      </w:pPr>
    </w:p>
    <w:p w14:paraId="7369E37E" w14:textId="77777777" w:rsidR="00AF6810" w:rsidRPr="00D26BDA" w:rsidRDefault="00AF6810" w:rsidP="00716C89">
      <w:pPr>
        <w:rPr>
          <w:sz w:val="22"/>
        </w:rPr>
      </w:pPr>
    </w:p>
    <w:p w14:paraId="4D7C86A8" w14:textId="176746F6" w:rsidR="003D486F" w:rsidRDefault="003D486F" w:rsidP="00AF6810">
      <w:pPr>
        <w:overflowPunct/>
        <w:autoSpaceDE/>
        <w:autoSpaceDN/>
        <w:adjustRightInd/>
        <w:spacing w:after="160" w:line="259" w:lineRule="auto"/>
        <w:rPr>
          <w:b/>
          <w:sz w:val="22"/>
        </w:rPr>
      </w:pPr>
      <w:r>
        <w:rPr>
          <w:b/>
          <w:sz w:val="22"/>
        </w:rPr>
        <w:t>58.</w:t>
      </w:r>
      <w:r>
        <w:rPr>
          <w:b/>
          <w:sz w:val="22"/>
        </w:rPr>
        <w:tab/>
        <w:t>INCOMING CHARGING POLICY AND RATES 2019/20</w:t>
      </w:r>
    </w:p>
    <w:p w14:paraId="32C8C9DA" w14:textId="45564591" w:rsidR="009B734E" w:rsidRDefault="009B734E" w:rsidP="00716C89">
      <w:pPr>
        <w:rPr>
          <w:sz w:val="22"/>
        </w:rPr>
      </w:pPr>
      <w:r>
        <w:rPr>
          <w:sz w:val="22"/>
        </w:rPr>
        <w:t xml:space="preserve">There was a limited range of activities where it was appropriate for the Force to make charges to individuals or organisations to recover costs of policing services provided.  The report sets out the Fees and Chargeable rates applicable for 2019/20.  </w:t>
      </w:r>
    </w:p>
    <w:p w14:paraId="220D6684" w14:textId="77777777" w:rsidR="00716C89" w:rsidRDefault="00716C89" w:rsidP="00716C89">
      <w:pPr>
        <w:rPr>
          <w:sz w:val="22"/>
        </w:rPr>
      </w:pPr>
    </w:p>
    <w:p w14:paraId="5BF48251" w14:textId="4ACFDF35" w:rsidR="009B734E" w:rsidRDefault="00716C89" w:rsidP="00716C89">
      <w:pPr>
        <w:rPr>
          <w:sz w:val="22"/>
        </w:rPr>
      </w:pPr>
      <w:r>
        <w:rPr>
          <w:sz w:val="22"/>
        </w:rPr>
        <w:t>All rates had gone up due to inflation and the Sponsorship Summary by LPA/Department for 2018/19 was set out on page 266.  Levels were fairly similar to last year and would be available on the Thames Valley Police website.  (LW) confirmed that the Force had recruited a fixed term accountant to look at the level of income charges and to come up with any areas of savings in the next 12 months.</w:t>
      </w:r>
    </w:p>
    <w:p w14:paraId="4E383A43" w14:textId="77777777" w:rsidR="009B734E" w:rsidRDefault="009B734E" w:rsidP="00716C89">
      <w:pPr>
        <w:rPr>
          <w:sz w:val="22"/>
        </w:rPr>
      </w:pPr>
    </w:p>
    <w:p w14:paraId="5E1FF833" w14:textId="0B81B0E5" w:rsidR="009B734E" w:rsidRDefault="009B734E" w:rsidP="00716C89">
      <w:pPr>
        <w:rPr>
          <w:sz w:val="22"/>
        </w:rPr>
      </w:pPr>
      <w:r>
        <w:rPr>
          <w:sz w:val="22"/>
        </w:rPr>
        <w:t>The PCC NOTED the current fees and chargeable rates for 2019/20 and NOTED the sponsorship received in 2018/19.</w:t>
      </w:r>
    </w:p>
    <w:p w14:paraId="17F83A76" w14:textId="77777777" w:rsidR="00716C89" w:rsidRPr="009B734E" w:rsidRDefault="00716C89" w:rsidP="00716C89">
      <w:pPr>
        <w:rPr>
          <w:sz w:val="22"/>
        </w:rPr>
      </w:pPr>
    </w:p>
    <w:p w14:paraId="3EF35095" w14:textId="77777777" w:rsidR="009B734E" w:rsidRDefault="009B734E" w:rsidP="00716C89">
      <w:pPr>
        <w:rPr>
          <w:b/>
          <w:sz w:val="22"/>
        </w:rPr>
      </w:pPr>
    </w:p>
    <w:p w14:paraId="460E5836" w14:textId="4DB07D6E" w:rsidR="003D486F" w:rsidRDefault="003D486F" w:rsidP="00716C89">
      <w:pPr>
        <w:rPr>
          <w:b/>
          <w:sz w:val="22"/>
        </w:rPr>
      </w:pPr>
      <w:r>
        <w:rPr>
          <w:b/>
          <w:sz w:val="22"/>
        </w:rPr>
        <w:t>59.</w:t>
      </w:r>
      <w:r>
        <w:rPr>
          <w:b/>
          <w:sz w:val="22"/>
        </w:rPr>
        <w:tab/>
        <w:t>DECISI</w:t>
      </w:r>
      <w:r w:rsidR="00140F51">
        <w:rPr>
          <w:b/>
          <w:sz w:val="22"/>
        </w:rPr>
        <w:t>O</w:t>
      </w:r>
      <w:r>
        <w:rPr>
          <w:b/>
          <w:sz w:val="22"/>
        </w:rPr>
        <w:t>NS TAKEN UNDER DELEGATED POWERS</w:t>
      </w:r>
    </w:p>
    <w:p w14:paraId="28E7710C" w14:textId="77777777" w:rsidR="00716C89" w:rsidRDefault="00716C89" w:rsidP="00716C89">
      <w:pPr>
        <w:rPr>
          <w:b/>
          <w:sz w:val="22"/>
        </w:rPr>
      </w:pPr>
    </w:p>
    <w:p w14:paraId="51E8AB55" w14:textId="7F27E7BF" w:rsidR="00716C89" w:rsidRDefault="00716C89" w:rsidP="00716C89">
      <w:pPr>
        <w:rPr>
          <w:sz w:val="22"/>
        </w:rPr>
      </w:pPr>
      <w:r>
        <w:rPr>
          <w:sz w:val="22"/>
        </w:rPr>
        <w:t>The report detailed the decisions that had been taken in accordance with the Scheme of Governance during the period 1 January to 28 February 2019.</w:t>
      </w:r>
    </w:p>
    <w:p w14:paraId="23B2CD45" w14:textId="77777777" w:rsidR="00716C89" w:rsidRDefault="00716C89" w:rsidP="00716C89">
      <w:pPr>
        <w:rPr>
          <w:sz w:val="22"/>
        </w:rPr>
      </w:pPr>
    </w:p>
    <w:p w14:paraId="1D79A1D1" w14:textId="49298141" w:rsidR="00716C89" w:rsidRDefault="00716C89" w:rsidP="00716C89">
      <w:pPr>
        <w:rPr>
          <w:sz w:val="22"/>
        </w:rPr>
      </w:pPr>
      <w:r>
        <w:rPr>
          <w:sz w:val="22"/>
        </w:rPr>
        <w:t>As to legal functions, between 1 January and 28 February 2019 payments had been made:</w:t>
      </w:r>
    </w:p>
    <w:p w14:paraId="7C50F73B" w14:textId="77777777" w:rsidR="00716C89" w:rsidRDefault="00716C89" w:rsidP="00716C89">
      <w:pPr>
        <w:rPr>
          <w:sz w:val="22"/>
        </w:rPr>
      </w:pPr>
    </w:p>
    <w:p w14:paraId="585066F7" w14:textId="7CC0AEE4" w:rsidR="00716C89" w:rsidRDefault="00716C89" w:rsidP="00716C89">
      <w:pPr>
        <w:pStyle w:val="ListParagraph"/>
        <w:numPr>
          <w:ilvl w:val="0"/>
          <w:numId w:val="47"/>
        </w:numPr>
        <w:jc w:val="both"/>
        <w:rPr>
          <w:sz w:val="22"/>
        </w:rPr>
      </w:pPr>
      <w:r>
        <w:rPr>
          <w:sz w:val="22"/>
        </w:rPr>
        <w:t>Under Public Liability – 20 payments under £10,000 had been made totalling £19,330;</w:t>
      </w:r>
    </w:p>
    <w:p w14:paraId="545FDD7C" w14:textId="6169B413" w:rsidR="00716C89" w:rsidRDefault="00716C89" w:rsidP="00716C89">
      <w:pPr>
        <w:pStyle w:val="ListParagraph"/>
        <w:numPr>
          <w:ilvl w:val="0"/>
          <w:numId w:val="47"/>
        </w:numPr>
        <w:jc w:val="both"/>
        <w:rPr>
          <w:sz w:val="22"/>
        </w:rPr>
      </w:pPr>
      <w:r>
        <w:rPr>
          <w:sz w:val="22"/>
        </w:rPr>
        <w:t>Under Employers Liability – 1 payment had been made totalling £9,834;</w:t>
      </w:r>
    </w:p>
    <w:p w14:paraId="0116C3FF" w14:textId="5A2590A8" w:rsidR="00716C89" w:rsidRDefault="00716C89" w:rsidP="00716C89">
      <w:pPr>
        <w:pStyle w:val="ListParagraph"/>
        <w:numPr>
          <w:ilvl w:val="0"/>
          <w:numId w:val="47"/>
        </w:numPr>
        <w:jc w:val="both"/>
        <w:rPr>
          <w:sz w:val="22"/>
        </w:rPr>
      </w:pPr>
      <w:r>
        <w:rPr>
          <w:sz w:val="22"/>
        </w:rPr>
        <w:t xml:space="preserve">Ex-gratia payments – 6 payments had been made all for less than £10,000 totalling £2,797; and </w:t>
      </w:r>
    </w:p>
    <w:p w14:paraId="17E57E28" w14:textId="01BC54C7" w:rsidR="00716C89" w:rsidRDefault="00716C89" w:rsidP="00716C89">
      <w:pPr>
        <w:pStyle w:val="ListParagraph"/>
        <w:numPr>
          <w:ilvl w:val="0"/>
          <w:numId w:val="47"/>
        </w:numPr>
        <w:jc w:val="both"/>
        <w:rPr>
          <w:sz w:val="22"/>
        </w:rPr>
      </w:pPr>
      <w:r>
        <w:rPr>
          <w:sz w:val="22"/>
        </w:rPr>
        <w:t>No Employment Tribunal settlements had been made for this period.</w:t>
      </w:r>
    </w:p>
    <w:p w14:paraId="1D633680" w14:textId="77777777" w:rsidR="00716C89" w:rsidRPr="00716C89" w:rsidRDefault="00716C89" w:rsidP="00716C89">
      <w:pPr>
        <w:rPr>
          <w:sz w:val="22"/>
        </w:rPr>
      </w:pPr>
    </w:p>
    <w:p w14:paraId="2F5AF239" w14:textId="1BE6A757" w:rsidR="003D486F" w:rsidRDefault="00716C89" w:rsidP="00716C89">
      <w:pPr>
        <w:rPr>
          <w:sz w:val="22"/>
        </w:rPr>
      </w:pPr>
      <w:r>
        <w:rPr>
          <w:sz w:val="22"/>
        </w:rPr>
        <w:t xml:space="preserve">The PCC </w:t>
      </w:r>
      <w:r w:rsidR="00AF6810">
        <w:rPr>
          <w:sz w:val="22"/>
        </w:rPr>
        <w:t xml:space="preserve">NOTED </w:t>
      </w:r>
      <w:r>
        <w:rPr>
          <w:sz w:val="22"/>
        </w:rPr>
        <w:t xml:space="preserve">the Decisions taken </w:t>
      </w:r>
      <w:r w:rsidR="00AF6810">
        <w:rPr>
          <w:sz w:val="22"/>
        </w:rPr>
        <w:t xml:space="preserve">by Chief Officers </w:t>
      </w:r>
      <w:r>
        <w:rPr>
          <w:sz w:val="22"/>
        </w:rPr>
        <w:t>under Delegated Powers</w:t>
      </w:r>
      <w:r w:rsidR="00AF6810">
        <w:rPr>
          <w:sz w:val="22"/>
        </w:rPr>
        <w:t xml:space="preserve"> during the period 1</w:t>
      </w:r>
      <w:r w:rsidR="00AF6810" w:rsidRPr="00BF105D">
        <w:rPr>
          <w:sz w:val="22"/>
          <w:vertAlign w:val="superscript"/>
        </w:rPr>
        <w:t>st</w:t>
      </w:r>
      <w:r w:rsidR="00AF6810">
        <w:rPr>
          <w:sz w:val="22"/>
        </w:rPr>
        <w:t xml:space="preserve"> January to 28 February 2019</w:t>
      </w:r>
      <w:r>
        <w:rPr>
          <w:sz w:val="22"/>
        </w:rPr>
        <w:t>.</w:t>
      </w:r>
    </w:p>
    <w:p w14:paraId="580B9058" w14:textId="77777777" w:rsidR="00716C89" w:rsidRDefault="00716C89" w:rsidP="00716C89">
      <w:pPr>
        <w:rPr>
          <w:sz w:val="22"/>
        </w:rPr>
      </w:pPr>
    </w:p>
    <w:p w14:paraId="48D038E7" w14:textId="77777777" w:rsidR="00381EF2" w:rsidRPr="00716C89" w:rsidRDefault="00381EF2" w:rsidP="00716C89">
      <w:pPr>
        <w:rPr>
          <w:sz w:val="22"/>
        </w:rPr>
      </w:pPr>
    </w:p>
    <w:p w14:paraId="000A9FF3" w14:textId="3A27FEFF" w:rsidR="003D486F" w:rsidRDefault="003D486F" w:rsidP="00716C89">
      <w:pPr>
        <w:rPr>
          <w:b/>
          <w:sz w:val="22"/>
        </w:rPr>
      </w:pPr>
      <w:r>
        <w:rPr>
          <w:b/>
          <w:sz w:val="22"/>
        </w:rPr>
        <w:t>60.</w:t>
      </w:r>
      <w:r>
        <w:rPr>
          <w:b/>
          <w:sz w:val="22"/>
        </w:rPr>
        <w:tab/>
        <w:t>AOB</w:t>
      </w:r>
    </w:p>
    <w:p w14:paraId="179F9739" w14:textId="77777777" w:rsidR="00B17628" w:rsidRDefault="00B17628" w:rsidP="00716C89">
      <w:pPr>
        <w:rPr>
          <w:b/>
          <w:sz w:val="22"/>
        </w:rPr>
      </w:pPr>
    </w:p>
    <w:p w14:paraId="27F41116" w14:textId="05D285EB" w:rsidR="00C845ED" w:rsidRPr="008468B0" w:rsidRDefault="00716C89" w:rsidP="00716C89">
      <w:pPr>
        <w:rPr>
          <w:sz w:val="22"/>
          <w:szCs w:val="22"/>
        </w:rPr>
      </w:pPr>
      <w:r>
        <w:rPr>
          <w:sz w:val="22"/>
        </w:rPr>
        <w:t>No further matters wer</w:t>
      </w:r>
      <w:r w:rsidR="00B17628">
        <w:rPr>
          <w:sz w:val="22"/>
        </w:rPr>
        <w:t>e discussed.</w:t>
      </w:r>
      <w:r w:rsidR="00680855">
        <w:rPr>
          <w:sz w:val="22"/>
        </w:rPr>
        <w:t xml:space="preserve">  </w:t>
      </w:r>
      <w:r w:rsidR="00C845ED">
        <w:rPr>
          <w:sz w:val="22"/>
          <w:szCs w:val="22"/>
        </w:rPr>
        <w:t>The meeting concluded at</w:t>
      </w:r>
      <w:r w:rsidR="00B17628">
        <w:rPr>
          <w:sz w:val="22"/>
          <w:szCs w:val="22"/>
        </w:rPr>
        <w:t xml:space="preserve"> 12.25</w:t>
      </w:r>
      <w:r w:rsidR="005C16F3">
        <w:rPr>
          <w:sz w:val="22"/>
          <w:szCs w:val="22"/>
        </w:rPr>
        <w:t>p</w:t>
      </w:r>
      <w:r w:rsidR="00610F89">
        <w:rPr>
          <w:sz w:val="22"/>
          <w:szCs w:val="22"/>
        </w:rPr>
        <w:t>m</w:t>
      </w:r>
      <w:r w:rsidR="004E7BF8">
        <w:rPr>
          <w:sz w:val="22"/>
          <w:szCs w:val="22"/>
        </w:rPr>
        <w:t>.</w:t>
      </w:r>
    </w:p>
    <w:p w14:paraId="78682943" w14:textId="77777777" w:rsidR="00680855" w:rsidRDefault="00680855" w:rsidP="00716C89">
      <w:pPr>
        <w:rPr>
          <w:rFonts w:cs="Arial"/>
          <w:b/>
          <w:sz w:val="22"/>
          <w:szCs w:val="22"/>
        </w:rPr>
      </w:pPr>
    </w:p>
    <w:p w14:paraId="30588D25" w14:textId="44FD1D7E" w:rsidR="00275197" w:rsidRPr="002C0DE1" w:rsidRDefault="00275197" w:rsidP="00716C89">
      <w:pPr>
        <w:rPr>
          <w:rFonts w:cs="Arial"/>
          <w:sz w:val="22"/>
          <w:szCs w:val="22"/>
        </w:rPr>
      </w:pPr>
      <w:r w:rsidRPr="002C0DE1">
        <w:rPr>
          <w:rFonts w:cs="Arial"/>
          <w:b/>
          <w:sz w:val="22"/>
          <w:szCs w:val="22"/>
        </w:rPr>
        <w:t>DATE OF NEXT MEETING</w:t>
      </w:r>
    </w:p>
    <w:p w14:paraId="40B2614D" w14:textId="638B2A84" w:rsidR="00716C89" w:rsidRPr="00124DCA" w:rsidRDefault="002943F7" w:rsidP="009706D0">
      <w:pPr>
        <w:rPr>
          <w:rFonts w:cs="Arial"/>
          <w:sz w:val="22"/>
          <w:szCs w:val="22"/>
        </w:rPr>
      </w:pPr>
      <w:r w:rsidRPr="00124DCA">
        <w:rPr>
          <w:rFonts w:cs="Arial"/>
          <w:sz w:val="22"/>
          <w:szCs w:val="22"/>
        </w:rPr>
        <w:t>L</w:t>
      </w:r>
      <w:r w:rsidR="00124DCA">
        <w:rPr>
          <w:rFonts w:cs="Arial"/>
          <w:sz w:val="22"/>
          <w:szCs w:val="22"/>
        </w:rPr>
        <w:t>evel 1</w:t>
      </w:r>
      <w:r w:rsidRPr="00124DCA">
        <w:rPr>
          <w:rFonts w:cs="Arial"/>
          <w:sz w:val="22"/>
          <w:szCs w:val="22"/>
        </w:rPr>
        <w:t xml:space="preserve"> M</w:t>
      </w:r>
      <w:r w:rsidR="00124DCA">
        <w:rPr>
          <w:rFonts w:cs="Arial"/>
          <w:sz w:val="22"/>
          <w:szCs w:val="22"/>
        </w:rPr>
        <w:t>eeting</w:t>
      </w:r>
      <w:r w:rsidRPr="00124DCA">
        <w:rPr>
          <w:rFonts w:cs="Arial"/>
          <w:sz w:val="22"/>
          <w:szCs w:val="22"/>
        </w:rPr>
        <w:t xml:space="preserve"> </w:t>
      </w:r>
      <w:r w:rsidR="00B17628">
        <w:rPr>
          <w:rFonts w:cs="Arial"/>
          <w:sz w:val="22"/>
          <w:szCs w:val="22"/>
        </w:rPr>
        <w:t xml:space="preserve">25 July </w:t>
      </w:r>
      <w:r w:rsidR="009626A5">
        <w:rPr>
          <w:rFonts w:cs="Arial"/>
          <w:sz w:val="22"/>
          <w:szCs w:val="22"/>
        </w:rPr>
        <w:t>2019</w:t>
      </w:r>
      <w:r w:rsidR="00150DED">
        <w:rPr>
          <w:rFonts w:cs="Arial"/>
          <w:sz w:val="22"/>
          <w:szCs w:val="22"/>
        </w:rPr>
        <w:t xml:space="preserve"> at </w:t>
      </w:r>
      <w:r w:rsidR="00275197" w:rsidRPr="00124DCA">
        <w:rPr>
          <w:rFonts w:cs="Arial"/>
          <w:sz w:val="22"/>
          <w:szCs w:val="22"/>
        </w:rPr>
        <w:t>10.</w:t>
      </w:r>
      <w:r w:rsidR="00B17628">
        <w:rPr>
          <w:rFonts w:cs="Arial"/>
          <w:sz w:val="22"/>
          <w:szCs w:val="22"/>
        </w:rPr>
        <w:t>0</w:t>
      </w:r>
      <w:r w:rsidR="00275197" w:rsidRPr="00124DCA">
        <w:rPr>
          <w:rFonts w:cs="Arial"/>
          <w:sz w:val="22"/>
          <w:szCs w:val="22"/>
        </w:rPr>
        <w:t xml:space="preserve">0am </w:t>
      </w:r>
      <w:r w:rsidR="008D0F7E" w:rsidRPr="00124DCA">
        <w:rPr>
          <w:rFonts w:cs="Arial"/>
          <w:sz w:val="22"/>
          <w:szCs w:val="22"/>
        </w:rPr>
        <w:t>at Thames Valley Headquarters South</w:t>
      </w:r>
      <w:r w:rsidR="00994452" w:rsidRPr="00124DCA">
        <w:rPr>
          <w:rFonts w:cs="Arial"/>
          <w:sz w:val="22"/>
          <w:szCs w:val="22"/>
        </w:rPr>
        <w:t>, Conference</w:t>
      </w:r>
      <w:r w:rsidR="008D0F7E" w:rsidRPr="00124DCA">
        <w:rPr>
          <w:rFonts w:cs="Arial"/>
          <w:sz w:val="22"/>
          <w:szCs w:val="22"/>
        </w:rPr>
        <w:t xml:space="preserve"> Hall.</w:t>
      </w:r>
      <w:r w:rsidRPr="00124DCA">
        <w:rPr>
          <w:rFonts w:cs="Arial"/>
          <w:sz w:val="22"/>
          <w:szCs w:val="22"/>
        </w:rPr>
        <w:t xml:space="preserve">  </w:t>
      </w:r>
    </w:p>
    <w:sectPr w:rsidR="00716C89" w:rsidRPr="00124DCA" w:rsidSect="00400A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39EE" w14:textId="77777777" w:rsidR="00D26BDA" w:rsidRDefault="00D26BDA" w:rsidP="0013318A">
      <w:r>
        <w:separator/>
      </w:r>
    </w:p>
  </w:endnote>
  <w:endnote w:type="continuationSeparator" w:id="0">
    <w:p w14:paraId="43E1FBE5" w14:textId="77777777" w:rsidR="00D26BDA" w:rsidRDefault="00D26BDA" w:rsidP="001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4934" w14:textId="77777777" w:rsidR="00D26BDA" w:rsidRDefault="00D2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68071"/>
      <w:docPartObj>
        <w:docPartGallery w:val="Page Numbers (Bottom of Page)"/>
        <w:docPartUnique/>
      </w:docPartObj>
    </w:sdtPr>
    <w:sdtEndPr>
      <w:rPr>
        <w:noProof/>
      </w:rPr>
    </w:sdtEndPr>
    <w:sdtContent>
      <w:p w14:paraId="144E17AF" w14:textId="03272FD1" w:rsidR="00D26BDA" w:rsidRDefault="00D26BDA">
        <w:pPr>
          <w:pStyle w:val="Footer"/>
          <w:jc w:val="center"/>
        </w:pPr>
        <w:r>
          <w:fldChar w:fldCharType="begin"/>
        </w:r>
        <w:r>
          <w:instrText xml:space="preserve"> PAGE   \* MERGEFORMAT </w:instrText>
        </w:r>
        <w:r>
          <w:fldChar w:fldCharType="separate"/>
        </w:r>
        <w:r w:rsidR="00E51071">
          <w:rPr>
            <w:noProof/>
          </w:rPr>
          <w:t>7</w:t>
        </w:r>
        <w:r>
          <w:rPr>
            <w:noProof/>
          </w:rPr>
          <w:fldChar w:fldCharType="end"/>
        </w:r>
      </w:p>
    </w:sdtContent>
  </w:sdt>
  <w:p w14:paraId="2DD7414F" w14:textId="77777777" w:rsidR="00D26BDA" w:rsidRDefault="00D2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94" w14:textId="77777777" w:rsidR="00D26BDA" w:rsidRDefault="00D2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71F6" w14:textId="77777777" w:rsidR="00D26BDA" w:rsidRDefault="00D26BDA" w:rsidP="0013318A">
      <w:r>
        <w:separator/>
      </w:r>
    </w:p>
  </w:footnote>
  <w:footnote w:type="continuationSeparator" w:id="0">
    <w:p w14:paraId="3E354706" w14:textId="77777777" w:rsidR="00D26BDA" w:rsidRDefault="00D26BDA" w:rsidP="0013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F300" w14:textId="356119C6" w:rsidR="00D26BDA" w:rsidRDefault="00D2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B317" w14:textId="7899DA7D" w:rsidR="00D26BDA" w:rsidRDefault="00D2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6EC8" w14:textId="2E0C9FF4" w:rsidR="00D26BDA" w:rsidRDefault="00D2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99"/>
    <w:multiLevelType w:val="hybridMultilevel"/>
    <w:tmpl w:val="244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1BC6"/>
    <w:multiLevelType w:val="hybridMultilevel"/>
    <w:tmpl w:val="6228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10CB2"/>
    <w:multiLevelType w:val="hybridMultilevel"/>
    <w:tmpl w:val="65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1724F"/>
    <w:multiLevelType w:val="hybridMultilevel"/>
    <w:tmpl w:val="07C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A3A82"/>
    <w:multiLevelType w:val="hybridMultilevel"/>
    <w:tmpl w:val="B4FE2A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bCs/>
        <w:color w:val="0000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61A"/>
    <w:multiLevelType w:val="hybridMultilevel"/>
    <w:tmpl w:val="1DA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1574"/>
    <w:multiLevelType w:val="hybridMultilevel"/>
    <w:tmpl w:val="56E02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F33EC"/>
    <w:multiLevelType w:val="hybridMultilevel"/>
    <w:tmpl w:val="7968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6985"/>
    <w:multiLevelType w:val="hybridMultilevel"/>
    <w:tmpl w:val="A7F4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E2A52"/>
    <w:multiLevelType w:val="hybridMultilevel"/>
    <w:tmpl w:val="AA5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7867"/>
    <w:multiLevelType w:val="hybridMultilevel"/>
    <w:tmpl w:val="C918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61E8D"/>
    <w:multiLevelType w:val="hybridMultilevel"/>
    <w:tmpl w:val="95C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A3002"/>
    <w:multiLevelType w:val="hybridMultilevel"/>
    <w:tmpl w:val="095A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67FBD"/>
    <w:multiLevelType w:val="hybridMultilevel"/>
    <w:tmpl w:val="AEA2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B0427"/>
    <w:multiLevelType w:val="hybridMultilevel"/>
    <w:tmpl w:val="E7A40B3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233C62F0"/>
    <w:multiLevelType w:val="hybridMultilevel"/>
    <w:tmpl w:val="D25C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F6CD5"/>
    <w:multiLevelType w:val="hybridMultilevel"/>
    <w:tmpl w:val="5636A6F0"/>
    <w:lvl w:ilvl="0" w:tplc="CEBC8B8E">
      <w:start w:val="2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827AB"/>
    <w:multiLevelType w:val="hybridMultilevel"/>
    <w:tmpl w:val="228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36DEF"/>
    <w:multiLevelType w:val="hybridMultilevel"/>
    <w:tmpl w:val="773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E2498"/>
    <w:multiLevelType w:val="hybridMultilevel"/>
    <w:tmpl w:val="300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75110"/>
    <w:multiLevelType w:val="hybridMultilevel"/>
    <w:tmpl w:val="2D9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D489B"/>
    <w:multiLevelType w:val="hybridMultilevel"/>
    <w:tmpl w:val="B0CA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A06E1E"/>
    <w:multiLevelType w:val="hybridMultilevel"/>
    <w:tmpl w:val="71D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E4F4F"/>
    <w:multiLevelType w:val="hybridMultilevel"/>
    <w:tmpl w:val="846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55018"/>
    <w:multiLevelType w:val="hybridMultilevel"/>
    <w:tmpl w:val="C9B8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507F3"/>
    <w:multiLevelType w:val="hybridMultilevel"/>
    <w:tmpl w:val="4B9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813AE"/>
    <w:multiLevelType w:val="hybridMultilevel"/>
    <w:tmpl w:val="6376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60D67"/>
    <w:multiLevelType w:val="hybridMultilevel"/>
    <w:tmpl w:val="CEE0E2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4BC2F56"/>
    <w:multiLevelType w:val="hybridMultilevel"/>
    <w:tmpl w:val="7936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94010"/>
    <w:multiLevelType w:val="hybridMultilevel"/>
    <w:tmpl w:val="D456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43ADF"/>
    <w:multiLevelType w:val="hybridMultilevel"/>
    <w:tmpl w:val="EAB6C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E22755"/>
    <w:multiLevelType w:val="hybridMultilevel"/>
    <w:tmpl w:val="374C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65859"/>
    <w:multiLevelType w:val="hybridMultilevel"/>
    <w:tmpl w:val="288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576D9"/>
    <w:multiLevelType w:val="hybridMultilevel"/>
    <w:tmpl w:val="6F3CB518"/>
    <w:lvl w:ilvl="0" w:tplc="08090001">
      <w:start w:val="1"/>
      <w:numFmt w:val="bullet"/>
      <w:lvlText w:val=""/>
      <w:lvlJc w:val="left"/>
      <w:pPr>
        <w:tabs>
          <w:tab w:val="num" w:pos="1211"/>
        </w:tabs>
        <w:ind w:left="1211" w:hanging="360"/>
      </w:pPr>
      <w:rPr>
        <w:rFonts w:ascii="Symbol" w:hAnsi="Symbol" w:hint="default"/>
        <w:b/>
        <w:bCs/>
        <w:color w:val="00000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30E7A5B"/>
    <w:multiLevelType w:val="hybridMultilevel"/>
    <w:tmpl w:val="7AD81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00443E"/>
    <w:multiLevelType w:val="multilevel"/>
    <w:tmpl w:val="4C7EEB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b/>
      </w:rPr>
    </w:lvl>
    <w:lvl w:ilvl="3">
      <w:start w:val="1"/>
      <w:numFmt w:val="bullet"/>
      <w:lvlText w:val=""/>
      <w:lvlJc w:val="left"/>
      <w:pPr>
        <w:ind w:left="2160" w:hanging="720"/>
      </w:pPr>
      <w:rPr>
        <w:rFonts w:ascii="Symbol" w:hAnsi="Symbol"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15:restartNumberingAfterBreak="0">
    <w:nsid w:val="5E6A600E"/>
    <w:multiLevelType w:val="hybridMultilevel"/>
    <w:tmpl w:val="97DC3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96DFA"/>
    <w:multiLevelType w:val="hybridMultilevel"/>
    <w:tmpl w:val="B44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B6303"/>
    <w:multiLevelType w:val="hybridMultilevel"/>
    <w:tmpl w:val="85A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C47A5"/>
    <w:multiLevelType w:val="hybridMultilevel"/>
    <w:tmpl w:val="B6EC0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B00DBE"/>
    <w:multiLevelType w:val="hybridMultilevel"/>
    <w:tmpl w:val="B7B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C368EE"/>
    <w:multiLevelType w:val="hybridMultilevel"/>
    <w:tmpl w:val="9D82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25241E"/>
    <w:multiLevelType w:val="hybridMultilevel"/>
    <w:tmpl w:val="8E387E78"/>
    <w:lvl w:ilvl="0" w:tplc="FFFFFFFF">
      <w:start w:val="272"/>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17B0E"/>
    <w:multiLevelType w:val="hybridMultilevel"/>
    <w:tmpl w:val="EE4EC986"/>
    <w:lvl w:ilvl="0" w:tplc="50207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F9014E"/>
    <w:multiLevelType w:val="hybridMultilevel"/>
    <w:tmpl w:val="637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122C6"/>
    <w:multiLevelType w:val="hybridMultilevel"/>
    <w:tmpl w:val="778A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C356A"/>
    <w:multiLevelType w:val="hybridMultilevel"/>
    <w:tmpl w:val="E7343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A0C6B19"/>
    <w:multiLevelType w:val="hybridMultilevel"/>
    <w:tmpl w:val="CADAC0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F831065"/>
    <w:multiLevelType w:val="hybridMultilevel"/>
    <w:tmpl w:val="470C0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36"/>
  </w:num>
  <w:num w:numId="3">
    <w:abstractNumId w:val="5"/>
  </w:num>
  <w:num w:numId="4">
    <w:abstractNumId w:val="46"/>
  </w:num>
  <w:num w:numId="5">
    <w:abstractNumId w:val="33"/>
  </w:num>
  <w:num w:numId="6">
    <w:abstractNumId w:val="39"/>
  </w:num>
  <w:num w:numId="7">
    <w:abstractNumId w:val="4"/>
  </w:num>
  <w:num w:numId="8">
    <w:abstractNumId w:val="34"/>
  </w:num>
  <w:num w:numId="9">
    <w:abstractNumId w:val="10"/>
  </w:num>
  <w:num w:numId="10">
    <w:abstractNumId w:val="16"/>
  </w:num>
  <w:num w:numId="11">
    <w:abstractNumId w:val="30"/>
  </w:num>
  <w:num w:numId="12">
    <w:abstractNumId w:val="42"/>
  </w:num>
  <w:num w:numId="13">
    <w:abstractNumId w:val="32"/>
  </w:num>
  <w:num w:numId="14">
    <w:abstractNumId w:val="20"/>
  </w:num>
  <w:num w:numId="15">
    <w:abstractNumId w:val="48"/>
  </w:num>
  <w:num w:numId="16">
    <w:abstractNumId w:val="0"/>
  </w:num>
  <w:num w:numId="17">
    <w:abstractNumId w:val="7"/>
  </w:num>
  <w:num w:numId="18">
    <w:abstractNumId w:val="29"/>
  </w:num>
  <w:num w:numId="19">
    <w:abstractNumId w:val="19"/>
  </w:num>
  <w:num w:numId="20">
    <w:abstractNumId w:val="6"/>
  </w:num>
  <w:num w:numId="21">
    <w:abstractNumId w:val="28"/>
  </w:num>
  <w:num w:numId="22">
    <w:abstractNumId w:val="23"/>
  </w:num>
  <w:num w:numId="23">
    <w:abstractNumId w:val="24"/>
  </w:num>
  <w:num w:numId="24">
    <w:abstractNumId w:val="13"/>
  </w:num>
  <w:num w:numId="25">
    <w:abstractNumId w:val="25"/>
  </w:num>
  <w:num w:numId="26">
    <w:abstractNumId w:val="44"/>
  </w:num>
  <w:num w:numId="27">
    <w:abstractNumId w:val="47"/>
  </w:num>
  <w:num w:numId="28">
    <w:abstractNumId w:val="11"/>
  </w:num>
  <w:num w:numId="29">
    <w:abstractNumId w:val="1"/>
  </w:num>
  <w:num w:numId="30">
    <w:abstractNumId w:val="8"/>
  </w:num>
  <w:num w:numId="31">
    <w:abstractNumId w:val="31"/>
  </w:num>
  <w:num w:numId="32">
    <w:abstractNumId w:val="17"/>
  </w:num>
  <w:num w:numId="33">
    <w:abstractNumId w:val="41"/>
  </w:num>
  <w:num w:numId="34">
    <w:abstractNumId w:val="38"/>
  </w:num>
  <w:num w:numId="35">
    <w:abstractNumId w:val="22"/>
  </w:num>
  <w:num w:numId="36">
    <w:abstractNumId w:val="43"/>
  </w:num>
  <w:num w:numId="37">
    <w:abstractNumId w:val="45"/>
  </w:num>
  <w:num w:numId="38">
    <w:abstractNumId w:val="27"/>
  </w:num>
  <w:num w:numId="39">
    <w:abstractNumId w:val="3"/>
  </w:num>
  <w:num w:numId="40">
    <w:abstractNumId w:val="40"/>
  </w:num>
  <w:num w:numId="41">
    <w:abstractNumId w:val="9"/>
  </w:num>
  <w:num w:numId="42">
    <w:abstractNumId w:val="15"/>
  </w:num>
  <w:num w:numId="43">
    <w:abstractNumId w:val="18"/>
  </w:num>
  <w:num w:numId="44">
    <w:abstractNumId w:val="37"/>
  </w:num>
  <w:num w:numId="45">
    <w:abstractNumId w:val="2"/>
  </w:num>
  <w:num w:numId="46">
    <w:abstractNumId w:val="26"/>
  </w:num>
  <w:num w:numId="47">
    <w:abstractNumId w:val="12"/>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3C"/>
    <w:rsid w:val="0000178D"/>
    <w:rsid w:val="00001EED"/>
    <w:rsid w:val="00005E13"/>
    <w:rsid w:val="00006443"/>
    <w:rsid w:val="0001189F"/>
    <w:rsid w:val="000126F8"/>
    <w:rsid w:val="00020AE6"/>
    <w:rsid w:val="0002145B"/>
    <w:rsid w:val="00022EA1"/>
    <w:rsid w:val="00025879"/>
    <w:rsid w:val="000263BF"/>
    <w:rsid w:val="00027C23"/>
    <w:rsid w:val="00034F65"/>
    <w:rsid w:val="0003511F"/>
    <w:rsid w:val="00037309"/>
    <w:rsid w:val="00041030"/>
    <w:rsid w:val="00042DCC"/>
    <w:rsid w:val="0004389C"/>
    <w:rsid w:val="0004467E"/>
    <w:rsid w:val="00044F00"/>
    <w:rsid w:val="00045089"/>
    <w:rsid w:val="00047D2D"/>
    <w:rsid w:val="00054AF4"/>
    <w:rsid w:val="000557AC"/>
    <w:rsid w:val="00057783"/>
    <w:rsid w:val="00064F91"/>
    <w:rsid w:val="00065D2C"/>
    <w:rsid w:val="0007405D"/>
    <w:rsid w:val="00074F12"/>
    <w:rsid w:val="00081958"/>
    <w:rsid w:val="00083AB6"/>
    <w:rsid w:val="00086443"/>
    <w:rsid w:val="000908BD"/>
    <w:rsid w:val="00092F21"/>
    <w:rsid w:val="00093886"/>
    <w:rsid w:val="000944BA"/>
    <w:rsid w:val="00095A76"/>
    <w:rsid w:val="000A2C04"/>
    <w:rsid w:val="000A2D3A"/>
    <w:rsid w:val="000A39C2"/>
    <w:rsid w:val="000B0BCA"/>
    <w:rsid w:val="000B458A"/>
    <w:rsid w:val="000B6495"/>
    <w:rsid w:val="000D3090"/>
    <w:rsid w:val="000D557D"/>
    <w:rsid w:val="000D5780"/>
    <w:rsid w:val="000E0D45"/>
    <w:rsid w:val="000E2317"/>
    <w:rsid w:val="000E51FE"/>
    <w:rsid w:val="000F0CAE"/>
    <w:rsid w:val="001002F7"/>
    <w:rsid w:val="00101348"/>
    <w:rsid w:val="00104DBF"/>
    <w:rsid w:val="001058D6"/>
    <w:rsid w:val="00106AB6"/>
    <w:rsid w:val="00106EEB"/>
    <w:rsid w:val="001101FF"/>
    <w:rsid w:val="00112947"/>
    <w:rsid w:val="00114854"/>
    <w:rsid w:val="00121734"/>
    <w:rsid w:val="001226E4"/>
    <w:rsid w:val="00123923"/>
    <w:rsid w:val="00124DCA"/>
    <w:rsid w:val="00127226"/>
    <w:rsid w:val="0013090B"/>
    <w:rsid w:val="00131439"/>
    <w:rsid w:val="0013318A"/>
    <w:rsid w:val="00137AAB"/>
    <w:rsid w:val="00140F51"/>
    <w:rsid w:val="00144885"/>
    <w:rsid w:val="00147AB6"/>
    <w:rsid w:val="00150571"/>
    <w:rsid w:val="00150DED"/>
    <w:rsid w:val="00153EBB"/>
    <w:rsid w:val="00154FA9"/>
    <w:rsid w:val="00155BC3"/>
    <w:rsid w:val="00155E7B"/>
    <w:rsid w:val="001610BB"/>
    <w:rsid w:val="0016226A"/>
    <w:rsid w:val="00162D96"/>
    <w:rsid w:val="00172FD5"/>
    <w:rsid w:val="00175ECC"/>
    <w:rsid w:val="00177A98"/>
    <w:rsid w:val="00177F2B"/>
    <w:rsid w:val="00180107"/>
    <w:rsid w:val="001856D3"/>
    <w:rsid w:val="0018781F"/>
    <w:rsid w:val="00195E89"/>
    <w:rsid w:val="0019688C"/>
    <w:rsid w:val="00197486"/>
    <w:rsid w:val="00197E08"/>
    <w:rsid w:val="001A1B33"/>
    <w:rsid w:val="001A6726"/>
    <w:rsid w:val="001B3D99"/>
    <w:rsid w:val="001B701B"/>
    <w:rsid w:val="001D4BC3"/>
    <w:rsid w:val="001D50F6"/>
    <w:rsid w:val="001E0EC9"/>
    <w:rsid w:val="001E114F"/>
    <w:rsid w:val="001E3927"/>
    <w:rsid w:val="001E61C9"/>
    <w:rsid w:val="001F0535"/>
    <w:rsid w:val="002008E5"/>
    <w:rsid w:val="002015C6"/>
    <w:rsid w:val="00201620"/>
    <w:rsid w:val="0020296B"/>
    <w:rsid w:val="00206F77"/>
    <w:rsid w:val="0021262C"/>
    <w:rsid w:val="0021517E"/>
    <w:rsid w:val="00217B72"/>
    <w:rsid w:val="00217D0D"/>
    <w:rsid w:val="00221355"/>
    <w:rsid w:val="00222173"/>
    <w:rsid w:val="00230F23"/>
    <w:rsid w:val="00232DAE"/>
    <w:rsid w:val="00233F77"/>
    <w:rsid w:val="00234714"/>
    <w:rsid w:val="00236CBF"/>
    <w:rsid w:val="00237E2C"/>
    <w:rsid w:val="00241022"/>
    <w:rsid w:val="00241EAD"/>
    <w:rsid w:val="00243C5E"/>
    <w:rsid w:val="00243DA4"/>
    <w:rsid w:val="00247720"/>
    <w:rsid w:val="00247815"/>
    <w:rsid w:val="002502DC"/>
    <w:rsid w:val="00250B8B"/>
    <w:rsid w:val="0025352F"/>
    <w:rsid w:val="00254A5E"/>
    <w:rsid w:val="0026037B"/>
    <w:rsid w:val="00260749"/>
    <w:rsid w:val="002622BE"/>
    <w:rsid w:val="0026288B"/>
    <w:rsid w:val="00262DE5"/>
    <w:rsid w:val="00263FB7"/>
    <w:rsid w:val="002665FF"/>
    <w:rsid w:val="00267012"/>
    <w:rsid w:val="00270026"/>
    <w:rsid w:val="00273C3B"/>
    <w:rsid w:val="00275197"/>
    <w:rsid w:val="00277501"/>
    <w:rsid w:val="0028126D"/>
    <w:rsid w:val="00281F78"/>
    <w:rsid w:val="002943F7"/>
    <w:rsid w:val="00294D88"/>
    <w:rsid w:val="00295C9B"/>
    <w:rsid w:val="002A0F33"/>
    <w:rsid w:val="002A4C2A"/>
    <w:rsid w:val="002B0930"/>
    <w:rsid w:val="002B1D43"/>
    <w:rsid w:val="002B67E8"/>
    <w:rsid w:val="002B71DC"/>
    <w:rsid w:val="002C0DE1"/>
    <w:rsid w:val="002C5BDE"/>
    <w:rsid w:val="002C77FF"/>
    <w:rsid w:val="002D0B28"/>
    <w:rsid w:val="002D2E7D"/>
    <w:rsid w:val="002D4BFA"/>
    <w:rsid w:val="002D68C4"/>
    <w:rsid w:val="002E0546"/>
    <w:rsid w:val="002E460F"/>
    <w:rsid w:val="002E5727"/>
    <w:rsid w:val="002E6E79"/>
    <w:rsid w:val="002F253E"/>
    <w:rsid w:val="002F6481"/>
    <w:rsid w:val="002F7435"/>
    <w:rsid w:val="00301FC8"/>
    <w:rsid w:val="003041B2"/>
    <w:rsid w:val="003049E6"/>
    <w:rsid w:val="00304AC2"/>
    <w:rsid w:val="00304E40"/>
    <w:rsid w:val="00311B20"/>
    <w:rsid w:val="00320F90"/>
    <w:rsid w:val="00322FBC"/>
    <w:rsid w:val="00324613"/>
    <w:rsid w:val="003254EA"/>
    <w:rsid w:val="003260F8"/>
    <w:rsid w:val="00330CA9"/>
    <w:rsid w:val="00333A8B"/>
    <w:rsid w:val="0033529E"/>
    <w:rsid w:val="00335F30"/>
    <w:rsid w:val="0034088B"/>
    <w:rsid w:val="00344326"/>
    <w:rsid w:val="003444D6"/>
    <w:rsid w:val="00350D0D"/>
    <w:rsid w:val="0035725F"/>
    <w:rsid w:val="00360680"/>
    <w:rsid w:val="00361394"/>
    <w:rsid w:val="00366D58"/>
    <w:rsid w:val="00367975"/>
    <w:rsid w:val="003700E8"/>
    <w:rsid w:val="00373AC6"/>
    <w:rsid w:val="00376682"/>
    <w:rsid w:val="00377695"/>
    <w:rsid w:val="00380484"/>
    <w:rsid w:val="00381EF2"/>
    <w:rsid w:val="0038270F"/>
    <w:rsid w:val="00382BA7"/>
    <w:rsid w:val="00384AE4"/>
    <w:rsid w:val="0038632C"/>
    <w:rsid w:val="00391065"/>
    <w:rsid w:val="003925C5"/>
    <w:rsid w:val="00392E44"/>
    <w:rsid w:val="003A047F"/>
    <w:rsid w:val="003A1112"/>
    <w:rsid w:val="003A126F"/>
    <w:rsid w:val="003A16BB"/>
    <w:rsid w:val="003A1F2B"/>
    <w:rsid w:val="003A697B"/>
    <w:rsid w:val="003A6A1E"/>
    <w:rsid w:val="003B20A5"/>
    <w:rsid w:val="003B3F22"/>
    <w:rsid w:val="003B6592"/>
    <w:rsid w:val="003B6B60"/>
    <w:rsid w:val="003B7E3A"/>
    <w:rsid w:val="003C3CC3"/>
    <w:rsid w:val="003D0A81"/>
    <w:rsid w:val="003D486F"/>
    <w:rsid w:val="003E4A1C"/>
    <w:rsid w:val="003E5EB2"/>
    <w:rsid w:val="003E69CB"/>
    <w:rsid w:val="003F073E"/>
    <w:rsid w:val="003F10EC"/>
    <w:rsid w:val="003F6EF3"/>
    <w:rsid w:val="00400ADC"/>
    <w:rsid w:val="004015FA"/>
    <w:rsid w:val="004030B8"/>
    <w:rsid w:val="004041E2"/>
    <w:rsid w:val="00406761"/>
    <w:rsid w:val="00406C7A"/>
    <w:rsid w:val="0041239B"/>
    <w:rsid w:val="004132CE"/>
    <w:rsid w:val="004164AA"/>
    <w:rsid w:val="00416DD9"/>
    <w:rsid w:val="00421AF6"/>
    <w:rsid w:val="00422855"/>
    <w:rsid w:val="00422F81"/>
    <w:rsid w:val="00424AB3"/>
    <w:rsid w:val="0042517A"/>
    <w:rsid w:val="00426799"/>
    <w:rsid w:val="00433208"/>
    <w:rsid w:val="0043356A"/>
    <w:rsid w:val="004337B5"/>
    <w:rsid w:val="00441168"/>
    <w:rsid w:val="00441B47"/>
    <w:rsid w:val="00442FA2"/>
    <w:rsid w:val="00443A8C"/>
    <w:rsid w:val="00443E93"/>
    <w:rsid w:val="00452CC0"/>
    <w:rsid w:val="004553C7"/>
    <w:rsid w:val="00460068"/>
    <w:rsid w:val="00460B73"/>
    <w:rsid w:val="00460BA5"/>
    <w:rsid w:val="00462DB8"/>
    <w:rsid w:val="00465B22"/>
    <w:rsid w:val="00465F94"/>
    <w:rsid w:val="00466ACF"/>
    <w:rsid w:val="00467CB4"/>
    <w:rsid w:val="004746C8"/>
    <w:rsid w:val="00475E0D"/>
    <w:rsid w:val="004817B7"/>
    <w:rsid w:val="00483229"/>
    <w:rsid w:val="004852AB"/>
    <w:rsid w:val="00495779"/>
    <w:rsid w:val="00495B5A"/>
    <w:rsid w:val="00495D1B"/>
    <w:rsid w:val="00495EF6"/>
    <w:rsid w:val="00496D07"/>
    <w:rsid w:val="00497665"/>
    <w:rsid w:val="004A0B19"/>
    <w:rsid w:val="004A29D9"/>
    <w:rsid w:val="004A3282"/>
    <w:rsid w:val="004A5874"/>
    <w:rsid w:val="004A607C"/>
    <w:rsid w:val="004A7AAF"/>
    <w:rsid w:val="004B0851"/>
    <w:rsid w:val="004B0940"/>
    <w:rsid w:val="004B138B"/>
    <w:rsid w:val="004C16D2"/>
    <w:rsid w:val="004C567E"/>
    <w:rsid w:val="004C6AED"/>
    <w:rsid w:val="004C6FBA"/>
    <w:rsid w:val="004D2B3C"/>
    <w:rsid w:val="004D48D6"/>
    <w:rsid w:val="004E1861"/>
    <w:rsid w:val="004E22DA"/>
    <w:rsid w:val="004E6003"/>
    <w:rsid w:val="004E7B0C"/>
    <w:rsid w:val="004E7BF8"/>
    <w:rsid w:val="004F1951"/>
    <w:rsid w:val="00503699"/>
    <w:rsid w:val="0050438B"/>
    <w:rsid w:val="00507173"/>
    <w:rsid w:val="005102C3"/>
    <w:rsid w:val="00512153"/>
    <w:rsid w:val="00512BA1"/>
    <w:rsid w:val="00513EEA"/>
    <w:rsid w:val="00516B65"/>
    <w:rsid w:val="00516EBD"/>
    <w:rsid w:val="00517196"/>
    <w:rsid w:val="0052056B"/>
    <w:rsid w:val="0052093E"/>
    <w:rsid w:val="00520F05"/>
    <w:rsid w:val="00521138"/>
    <w:rsid w:val="005219B0"/>
    <w:rsid w:val="005236FD"/>
    <w:rsid w:val="005270BF"/>
    <w:rsid w:val="005317EE"/>
    <w:rsid w:val="0053453C"/>
    <w:rsid w:val="00536235"/>
    <w:rsid w:val="005406F5"/>
    <w:rsid w:val="005409EA"/>
    <w:rsid w:val="00541D05"/>
    <w:rsid w:val="0054487A"/>
    <w:rsid w:val="00545769"/>
    <w:rsid w:val="005510A8"/>
    <w:rsid w:val="00560418"/>
    <w:rsid w:val="00562BF4"/>
    <w:rsid w:val="00566E9A"/>
    <w:rsid w:val="00574038"/>
    <w:rsid w:val="00575407"/>
    <w:rsid w:val="0058165D"/>
    <w:rsid w:val="00584010"/>
    <w:rsid w:val="0058652E"/>
    <w:rsid w:val="0058707D"/>
    <w:rsid w:val="005909A7"/>
    <w:rsid w:val="00590AD6"/>
    <w:rsid w:val="00593D1B"/>
    <w:rsid w:val="005962CD"/>
    <w:rsid w:val="005A1009"/>
    <w:rsid w:val="005A4C8B"/>
    <w:rsid w:val="005A6FBE"/>
    <w:rsid w:val="005A7A86"/>
    <w:rsid w:val="005B569D"/>
    <w:rsid w:val="005B5742"/>
    <w:rsid w:val="005B65D2"/>
    <w:rsid w:val="005B6BCC"/>
    <w:rsid w:val="005B6D04"/>
    <w:rsid w:val="005C16F3"/>
    <w:rsid w:val="005D0706"/>
    <w:rsid w:val="005D0A0A"/>
    <w:rsid w:val="005D17C1"/>
    <w:rsid w:val="005D2D4E"/>
    <w:rsid w:val="005D3BAF"/>
    <w:rsid w:val="005D57C0"/>
    <w:rsid w:val="005D75B5"/>
    <w:rsid w:val="005E48A5"/>
    <w:rsid w:val="005E592D"/>
    <w:rsid w:val="005F050D"/>
    <w:rsid w:val="005F10A4"/>
    <w:rsid w:val="005F1F2A"/>
    <w:rsid w:val="005F2236"/>
    <w:rsid w:val="005F2A7A"/>
    <w:rsid w:val="005F5F21"/>
    <w:rsid w:val="00604A0F"/>
    <w:rsid w:val="00610563"/>
    <w:rsid w:val="00610F89"/>
    <w:rsid w:val="00611707"/>
    <w:rsid w:val="006211D8"/>
    <w:rsid w:val="0062181E"/>
    <w:rsid w:val="00625DFD"/>
    <w:rsid w:val="00630A37"/>
    <w:rsid w:val="00630EF6"/>
    <w:rsid w:val="006310EC"/>
    <w:rsid w:val="006312A2"/>
    <w:rsid w:val="0063176B"/>
    <w:rsid w:val="00631B0D"/>
    <w:rsid w:val="00633174"/>
    <w:rsid w:val="00633F73"/>
    <w:rsid w:val="006366BC"/>
    <w:rsid w:val="00640C29"/>
    <w:rsid w:val="00641C9F"/>
    <w:rsid w:val="00645345"/>
    <w:rsid w:val="00646B2A"/>
    <w:rsid w:val="00651DF3"/>
    <w:rsid w:val="00652054"/>
    <w:rsid w:val="00655805"/>
    <w:rsid w:val="006577EE"/>
    <w:rsid w:val="00660E9E"/>
    <w:rsid w:val="00665226"/>
    <w:rsid w:val="00665A68"/>
    <w:rsid w:val="00665C6C"/>
    <w:rsid w:val="006709B5"/>
    <w:rsid w:val="00672E2E"/>
    <w:rsid w:val="00673998"/>
    <w:rsid w:val="006756F1"/>
    <w:rsid w:val="00680855"/>
    <w:rsid w:val="00680885"/>
    <w:rsid w:val="0068181F"/>
    <w:rsid w:val="006828FF"/>
    <w:rsid w:val="00683C4A"/>
    <w:rsid w:val="0068407A"/>
    <w:rsid w:val="00690B4E"/>
    <w:rsid w:val="00694E39"/>
    <w:rsid w:val="006A0512"/>
    <w:rsid w:val="006A352B"/>
    <w:rsid w:val="006A4570"/>
    <w:rsid w:val="006A4D87"/>
    <w:rsid w:val="006A5F2F"/>
    <w:rsid w:val="006B1221"/>
    <w:rsid w:val="006B31B0"/>
    <w:rsid w:val="006C24E1"/>
    <w:rsid w:val="006C66FB"/>
    <w:rsid w:val="006C7AC1"/>
    <w:rsid w:val="006D120F"/>
    <w:rsid w:val="006D4829"/>
    <w:rsid w:val="006E22E0"/>
    <w:rsid w:val="006E34F5"/>
    <w:rsid w:val="006E4545"/>
    <w:rsid w:val="006E4652"/>
    <w:rsid w:val="006E68F2"/>
    <w:rsid w:val="006E70A1"/>
    <w:rsid w:val="006F2EE8"/>
    <w:rsid w:val="006F3A0A"/>
    <w:rsid w:val="006F3B21"/>
    <w:rsid w:val="006F41B2"/>
    <w:rsid w:val="006F5164"/>
    <w:rsid w:val="006F58C1"/>
    <w:rsid w:val="006F61C6"/>
    <w:rsid w:val="006F685C"/>
    <w:rsid w:val="007004D0"/>
    <w:rsid w:val="00703908"/>
    <w:rsid w:val="0070759F"/>
    <w:rsid w:val="00707A5B"/>
    <w:rsid w:val="00710FA7"/>
    <w:rsid w:val="00714EA1"/>
    <w:rsid w:val="00716C89"/>
    <w:rsid w:val="00721D56"/>
    <w:rsid w:val="007229C0"/>
    <w:rsid w:val="00724CFB"/>
    <w:rsid w:val="00733C08"/>
    <w:rsid w:val="007351F9"/>
    <w:rsid w:val="0074673F"/>
    <w:rsid w:val="007471E7"/>
    <w:rsid w:val="007521EA"/>
    <w:rsid w:val="0075354C"/>
    <w:rsid w:val="00754C36"/>
    <w:rsid w:val="00755FA6"/>
    <w:rsid w:val="00756AAD"/>
    <w:rsid w:val="00757517"/>
    <w:rsid w:val="00761866"/>
    <w:rsid w:val="007708D5"/>
    <w:rsid w:val="00774540"/>
    <w:rsid w:val="007761F4"/>
    <w:rsid w:val="0077631B"/>
    <w:rsid w:val="00780839"/>
    <w:rsid w:val="00781B63"/>
    <w:rsid w:val="00782550"/>
    <w:rsid w:val="007832D5"/>
    <w:rsid w:val="0078397C"/>
    <w:rsid w:val="00786C69"/>
    <w:rsid w:val="00786E1C"/>
    <w:rsid w:val="0079070D"/>
    <w:rsid w:val="007A2645"/>
    <w:rsid w:val="007A405E"/>
    <w:rsid w:val="007A627E"/>
    <w:rsid w:val="007A7AE9"/>
    <w:rsid w:val="007B2371"/>
    <w:rsid w:val="007B4BFD"/>
    <w:rsid w:val="007B4FDC"/>
    <w:rsid w:val="007B6178"/>
    <w:rsid w:val="007C234C"/>
    <w:rsid w:val="007C42ED"/>
    <w:rsid w:val="007C7A14"/>
    <w:rsid w:val="007E6538"/>
    <w:rsid w:val="007E6FD7"/>
    <w:rsid w:val="007F1830"/>
    <w:rsid w:val="007F1DC6"/>
    <w:rsid w:val="007F3CCF"/>
    <w:rsid w:val="007F4AAA"/>
    <w:rsid w:val="007F4EEE"/>
    <w:rsid w:val="00802C09"/>
    <w:rsid w:val="00811517"/>
    <w:rsid w:val="008118B6"/>
    <w:rsid w:val="00812A30"/>
    <w:rsid w:val="00812ACF"/>
    <w:rsid w:val="00813C6A"/>
    <w:rsid w:val="008159E9"/>
    <w:rsid w:val="008205BA"/>
    <w:rsid w:val="008205F6"/>
    <w:rsid w:val="008219A5"/>
    <w:rsid w:val="00825297"/>
    <w:rsid w:val="008358DE"/>
    <w:rsid w:val="0083632D"/>
    <w:rsid w:val="008364D2"/>
    <w:rsid w:val="00842344"/>
    <w:rsid w:val="00844E1E"/>
    <w:rsid w:val="008468B0"/>
    <w:rsid w:val="00850CFD"/>
    <w:rsid w:val="008519D7"/>
    <w:rsid w:val="0085587D"/>
    <w:rsid w:val="008575F5"/>
    <w:rsid w:val="00861997"/>
    <w:rsid w:val="00863A2E"/>
    <w:rsid w:val="00870B87"/>
    <w:rsid w:val="00874F56"/>
    <w:rsid w:val="0087666A"/>
    <w:rsid w:val="00877D05"/>
    <w:rsid w:val="008829FC"/>
    <w:rsid w:val="00884C00"/>
    <w:rsid w:val="008949BF"/>
    <w:rsid w:val="008958A6"/>
    <w:rsid w:val="00896833"/>
    <w:rsid w:val="008A2801"/>
    <w:rsid w:val="008A7139"/>
    <w:rsid w:val="008B0A7E"/>
    <w:rsid w:val="008C2016"/>
    <w:rsid w:val="008C4DB7"/>
    <w:rsid w:val="008C648B"/>
    <w:rsid w:val="008D00B7"/>
    <w:rsid w:val="008D0F7E"/>
    <w:rsid w:val="008D3A0D"/>
    <w:rsid w:val="008D5382"/>
    <w:rsid w:val="008E06D6"/>
    <w:rsid w:val="008E2AEB"/>
    <w:rsid w:val="008E570D"/>
    <w:rsid w:val="008F3B70"/>
    <w:rsid w:val="008F58D8"/>
    <w:rsid w:val="008F5CC0"/>
    <w:rsid w:val="008F654B"/>
    <w:rsid w:val="00900A3F"/>
    <w:rsid w:val="00905FDE"/>
    <w:rsid w:val="00907134"/>
    <w:rsid w:val="00907F46"/>
    <w:rsid w:val="0091022C"/>
    <w:rsid w:val="00912345"/>
    <w:rsid w:val="009205EB"/>
    <w:rsid w:val="00920E50"/>
    <w:rsid w:val="0092244F"/>
    <w:rsid w:val="00923021"/>
    <w:rsid w:val="00930244"/>
    <w:rsid w:val="00933F4F"/>
    <w:rsid w:val="00934864"/>
    <w:rsid w:val="00940CCA"/>
    <w:rsid w:val="009443D4"/>
    <w:rsid w:val="00944D3B"/>
    <w:rsid w:val="009501D4"/>
    <w:rsid w:val="0095176F"/>
    <w:rsid w:val="00953475"/>
    <w:rsid w:val="00960B48"/>
    <w:rsid w:val="00961E81"/>
    <w:rsid w:val="009626A5"/>
    <w:rsid w:val="00965099"/>
    <w:rsid w:val="009679EE"/>
    <w:rsid w:val="00967AD8"/>
    <w:rsid w:val="009702F8"/>
    <w:rsid w:val="0097034A"/>
    <w:rsid w:val="009706D0"/>
    <w:rsid w:val="0097348B"/>
    <w:rsid w:val="0097361E"/>
    <w:rsid w:val="009759D1"/>
    <w:rsid w:val="009853E9"/>
    <w:rsid w:val="00985821"/>
    <w:rsid w:val="0098583E"/>
    <w:rsid w:val="00985D42"/>
    <w:rsid w:val="00986943"/>
    <w:rsid w:val="00986D4A"/>
    <w:rsid w:val="00987A88"/>
    <w:rsid w:val="00990AA2"/>
    <w:rsid w:val="00992204"/>
    <w:rsid w:val="0099233F"/>
    <w:rsid w:val="00994452"/>
    <w:rsid w:val="00996C65"/>
    <w:rsid w:val="009A115F"/>
    <w:rsid w:val="009A182B"/>
    <w:rsid w:val="009A1FD4"/>
    <w:rsid w:val="009A24F7"/>
    <w:rsid w:val="009A4080"/>
    <w:rsid w:val="009B0A5A"/>
    <w:rsid w:val="009B3039"/>
    <w:rsid w:val="009B734E"/>
    <w:rsid w:val="009C133F"/>
    <w:rsid w:val="009C14D6"/>
    <w:rsid w:val="009C32EC"/>
    <w:rsid w:val="009C56EB"/>
    <w:rsid w:val="009D466F"/>
    <w:rsid w:val="009E0622"/>
    <w:rsid w:val="009E1150"/>
    <w:rsid w:val="009E1DE3"/>
    <w:rsid w:val="009E1F9B"/>
    <w:rsid w:val="009E3A59"/>
    <w:rsid w:val="009E6A10"/>
    <w:rsid w:val="009E6CED"/>
    <w:rsid w:val="009E7C69"/>
    <w:rsid w:val="009F2472"/>
    <w:rsid w:val="00A01BC6"/>
    <w:rsid w:val="00A05179"/>
    <w:rsid w:val="00A05AE9"/>
    <w:rsid w:val="00A0738C"/>
    <w:rsid w:val="00A1012E"/>
    <w:rsid w:val="00A10869"/>
    <w:rsid w:val="00A20C57"/>
    <w:rsid w:val="00A234CC"/>
    <w:rsid w:val="00A23F90"/>
    <w:rsid w:val="00A40931"/>
    <w:rsid w:val="00A4168E"/>
    <w:rsid w:val="00A50969"/>
    <w:rsid w:val="00A530C8"/>
    <w:rsid w:val="00A54111"/>
    <w:rsid w:val="00A6561E"/>
    <w:rsid w:val="00A66479"/>
    <w:rsid w:val="00A667CD"/>
    <w:rsid w:val="00A70AA4"/>
    <w:rsid w:val="00A73F87"/>
    <w:rsid w:val="00A742D0"/>
    <w:rsid w:val="00A74F36"/>
    <w:rsid w:val="00A76396"/>
    <w:rsid w:val="00A82E93"/>
    <w:rsid w:val="00A863E7"/>
    <w:rsid w:val="00A87842"/>
    <w:rsid w:val="00A90670"/>
    <w:rsid w:val="00A935D4"/>
    <w:rsid w:val="00A9523B"/>
    <w:rsid w:val="00AA421F"/>
    <w:rsid w:val="00AA4EAB"/>
    <w:rsid w:val="00AA5289"/>
    <w:rsid w:val="00AA63B7"/>
    <w:rsid w:val="00AA674B"/>
    <w:rsid w:val="00AA6AC1"/>
    <w:rsid w:val="00AA7F99"/>
    <w:rsid w:val="00AB1C9E"/>
    <w:rsid w:val="00AB466F"/>
    <w:rsid w:val="00AC019C"/>
    <w:rsid w:val="00AC169A"/>
    <w:rsid w:val="00AC1A14"/>
    <w:rsid w:val="00AC21B4"/>
    <w:rsid w:val="00AC284C"/>
    <w:rsid w:val="00AC7C19"/>
    <w:rsid w:val="00AD114B"/>
    <w:rsid w:val="00AD1FB6"/>
    <w:rsid w:val="00AD48A0"/>
    <w:rsid w:val="00AD6F21"/>
    <w:rsid w:val="00AD7AA1"/>
    <w:rsid w:val="00AD7B4A"/>
    <w:rsid w:val="00AE0A80"/>
    <w:rsid w:val="00AE0DD9"/>
    <w:rsid w:val="00AE4E19"/>
    <w:rsid w:val="00AE70A2"/>
    <w:rsid w:val="00AF599C"/>
    <w:rsid w:val="00AF6810"/>
    <w:rsid w:val="00B17628"/>
    <w:rsid w:val="00B17AA7"/>
    <w:rsid w:val="00B204BE"/>
    <w:rsid w:val="00B2145C"/>
    <w:rsid w:val="00B219BC"/>
    <w:rsid w:val="00B22598"/>
    <w:rsid w:val="00B22CE6"/>
    <w:rsid w:val="00B2592D"/>
    <w:rsid w:val="00B31AA1"/>
    <w:rsid w:val="00B32C13"/>
    <w:rsid w:val="00B3675D"/>
    <w:rsid w:val="00B36F45"/>
    <w:rsid w:val="00B40919"/>
    <w:rsid w:val="00B427E8"/>
    <w:rsid w:val="00B52FFA"/>
    <w:rsid w:val="00B5647E"/>
    <w:rsid w:val="00B57AB2"/>
    <w:rsid w:val="00B60E1C"/>
    <w:rsid w:val="00B62B22"/>
    <w:rsid w:val="00B64768"/>
    <w:rsid w:val="00B64E14"/>
    <w:rsid w:val="00B674A7"/>
    <w:rsid w:val="00B70BAC"/>
    <w:rsid w:val="00B73C09"/>
    <w:rsid w:val="00B74D60"/>
    <w:rsid w:val="00B74E3D"/>
    <w:rsid w:val="00B823B0"/>
    <w:rsid w:val="00B82FF0"/>
    <w:rsid w:val="00B83627"/>
    <w:rsid w:val="00B83882"/>
    <w:rsid w:val="00B911C9"/>
    <w:rsid w:val="00B9406B"/>
    <w:rsid w:val="00B96372"/>
    <w:rsid w:val="00B96564"/>
    <w:rsid w:val="00BA358A"/>
    <w:rsid w:val="00BA3FF5"/>
    <w:rsid w:val="00BA55EE"/>
    <w:rsid w:val="00BB6B57"/>
    <w:rsid w:val="00BC01BA"/>
    <w:rsid w:val="00BC24B8"/>
    <w:rsid w:val="00BD3FC6"/>
    <w:rsid w:val="00BD434D"/>
    <w:rsid w:val="00BD5281"/>
    <w:rsid w:val="00BD61FF"/>
    <w:rsid w:val="00BD7F51"/>
    <w:rsid w:val="00BE235A"/>
    <w:rsid w:val="00BE3A48"/>
    <w:rsid w:val="00BE6E31"/>
    <w:rsid w:val="00BE7D12"/>
    <w:rsid w:val="00BF105D"/>
    <w:rsid w:val="00BF676C"/>
    <w:rsid w:val="00BF682C"/>
    <w:rsid w:val="00C059D2"/>
    <w:rsid w:val="00C05AE6"/>
    <w:rsid w:val="00C06A19"/>
    <w:rsid w:val="00C14FA5"/>
    <w:rsid w:val="00C15222"/>
    <w:rsid w:val="00C22721"/>
    <w:rsid w:val="00C2450E"/>
    <w:rsid w:val="00C27216"/>
    <w:rsid w:val="00C32480"/>
    <w:rsid w:val="00C3253C"/>
    <w:rsid w:val="00C3673E"/>
    <w:rsid w:val="00C414D9"/>
    <w:rsid w:val="00C4223D"/>
    <w:rsid w:val="00C44124"/>
    <w:rsid w:val="00C51103"/>
    <w:rsid w:val="00C52A9C"/>
    <w:rsid w:val="00C5362A"/>
    <w:rsid w:val="00C56242"/>
    <w:rsid w:val="00C576C7"/>
    <w:rsid w:val="00C600DD"/>
    <w:rsid w:val="00C65FAE"/>
    <w:rsid w:val="00C70BD0"/>
    <w:rsid w:val="00C71BB7"/>
    <w:rsid w:val="00C73B0F"/>
    <w:rsid w:val="00C75046"/>
    <w:rsid w:val="00C77E53"/>
    <w:rsid w:val="00C77E5B"/>
    <w:rsid w:val="00C80104"/>
    <w:rsid w:val="00C821BC"/>
    <w:rsid w:val="00C845ED"/>
    <w:rsid w:val="00C86C8B"/>
    <w:rsid w:val="00C9069B"/>
    <w:rsid w:val="00C9128A"/>
    <w:rsid w:val="00C921A2"/>
    <w:rsid w:val="00C9420E"/>
    <w:rsid w:val="00CA0543"/>
    <w:rsid w:val="00CA0A94"/>
    <w:rsid w:val="00CA1140"/>
    <w:rsid w:val="00CB03A5"/>
    <w:rsid w:val="00CB2249"/>
    <w:rsid w:val="00CB229E"/>
    <w:rsid w:val="00CB2A3B"/>
    <w:rsid w:val="00CB2B70"/>
    <w:rsid w:val="00CC0051"/>
    <w:rsid w:val="00CC0ECD"/>
    <w:rsid w:val="00CC1EC6"/>
    <w:rsid w:val="00CC3C59"/>
    <w:rsid w:val="00CD2316"/>
    <w:rsid w:val="00CD24C2"/>
    <w:rsid w:val="00CE500E"/>
    <w:rsid w:val="00CF0038"/>
    <w:rsid w:val="00CF0476"/>
    <w:rsid w:val="00CF36AD"/>
    <w:rsid w:val="00CF526E"/>
    <w:rsid w:val="00CF5DFA"/>
    <w:rsid w:val="00CF60E1"/>
    <w:rsid w:val="00D000D7"/>
    <w:rsid w:val="00D05578"/>
    <w:rsid w:val="00D110B4"/>
    <w:rsid w:val="00D16750"/>
    <w:rsid w:val="00D16D64"/>
    <w:rsid w:val="00D202A3"/>
    <w:rsid w:val="00D2210C"/>
    <w:rsid w:val="00D228F2"/>
    <w:rsid w:val="00D2382E"/>
    <w:rsid w:val="00D24828"/>
    <w:rsid w:val="00D265F1"/>
    <w:rsid w:val="00D26BDA"/>
    <w:rsid w:val="00D30E7B"/>
    <w:rsid w:val="00D33496"/>
    <w:rsid w:val="00D33542"/>
    <w:rsid w:val="00D361C9"/>
    <w:rsid w:val="00D377BE"/>
    <w:rsid w:val="00D41ADD"/>
    <w:rsid w:val="00D4239F"/>
    <w:rsid w:val="00D4262B"/>
    <w:rsid w:val="00D4364A"/>
    <w:rsid w:val="00D5182E"/>
    <w:rsid w:val="00D654B1"/>
    <w:rsid w:val="00D66569"/>
    <w:rsid w:val="00D665DC"/>
    <w:rsid w:val="00D66EB3"/>
    <w:rsid w:val="00D719B9"/>
    <w:rsid w:val="00D743E5"/>
    <w:rsid w:val="00D7537D"/>
    <w:rsid w:val="00D8760B"/>
    <w:rsid w:val="00D95549"/>
    <w:rsid w:val="00D967E2"/>
    <w:rsid w:val="00D97DC5"/>
    <w:rsid w:val="00DA4E41"/>
    <w:rsid w:val="00DA651E"/>
    <w:rsid w:val="00DA68BC"/>
    <w:rsid w:val="00DB6C8F"/>
    <w:rsid w:val="00DB784E"/>
    <w:rsid w:val="00DC10B2"/>
    <w:rsid w:val="00DC2CBD"/>
    <w:rsid w:val="00DD3BEF"/>
    <w:rsid w:val="00DD5C02"/>
    <w:rsid w:val="00DE0142"/>
    <w:rsid w:val="00DE0C32"/>
    <w:rsid w:val="00DE0D10"/>
    <w:rsid w:val="00DE194C"/>
    <w:rsid w:val="00DE2A12"/>
    <w:rsid w:val="00DE79B5"/>
    <w:rsid w:val="00DE79F4"/>
    <w:rsid w:val="00DF1197"/>
    <w:rsid w:val="00DF1C27"/>
    <w:rsid w:val="00DF3115"/>
    <w:rsid w:val="00DF3786"/>
    <w:rsid w:val="00DF3D4C"/>
    <w:rsid w:val="00DF6621"/>
    <w:rsid w:val="00DF7CB3"/>
    <w:rsid w:val="00E052EB"/>
    <w:rsid w:val="00E05C2C"/>
    <w:rsid w:val="00E10691"/>
    <w:rsid w:val="00E11961"/>
    <w:rsid w:val="00E120DB"/>
    <w:rsid w:val="00E12718"/>
    <w:rsid w:val="00E131ED"/>
    <w:rsid w:val="00E15282"/>
    <w:rsid w:val="00E214A3"/>
    <w:rsid w:val="00E339F3"/>
    <w:rsid w:val="00E3475D"/>
    <w:rsid w:val="00E37F54"/>
    <w:rsid w:val="00E43009"/>
    <w:rsid w:val="00E45BDD"/>
    <w:rsid w:val="00E51071"/>
    <w:rsid w:val="00E51DBB"/>
    <w:rsid w:val="00E56745"/>
    <w:rsid w:val="00E5797C"/>
    <w:rsid w:val="00E62792"/>
    <w:rsid w:val="00E65B33"/>
    <w:rsid w:val="00E752CB"/>
    <w:rsid w:val="00E824B9"/>
    <w:rsid w:val="00E8521F"/>
    <w:rsid w:val="00E87574"/>
    <w:rsid w:val="00E94883"/>
    <w:rsid w:val="00E95B63"/>
    <w:rsid w:val="00E95DE6"/>
    <w:rsid w:val="00E97C00"/>
    <w:rsid w:val="00EA114B"/>
    <w:rsid w:val="00EA4AFE"/>
    <w:rsid w:val="00EA5B57"/>
    <w:rsid w:val="00EA7A84"/>
    <w:rsid w:val="00EB206A"/>
    <w:rsid w:val="00EB3386"/>
    <w:rsid w:val="00EC126F"/>
    <w:rsid w:val="00EC1CB2"/>
    <w:rsid w:val="00EC2302"/>
    <w:rsid w:val="00EC4228"/>
    <w:rsid w:val="00EC58AE"/>
    <w:rsid w:val="00ED196A"/>
    <w:rsid w:val="00ED32C4"/>
    <w:rsid w:val="00ED34EA"/>
    <w:rsid w:val="00ED57C7"/>
    <w:rsid w:val="00ED757A"/>
    <w:rsid w:val="00ED7EFF"/>
    <w:rsid w:val="00EE38CD"/>
    <w:rsid w:val="00EE483B"/>
    <w:rsid w:val="00EE6F31"/>
    <w:rsid w:val="00EF0D9E"/>
    <w:rsid w:val="00EF312D"/>
    <w:rsid w:val="00EF37C0"/>
    <w:rsid w:val="00EF3D71"/>
    <w:rsid w:val="00EF406D"/>
    <w:rsid w:val="00EF44DE"/>
    <w:rsid w:val="00F057F8"/>
    <w:rsid w:val="00F0664F"/>
    <w:rsid w:val="00F0711E"/>
    <w:rsid w:val="00F0793F"/>
    <w:rsid w:val="00F1257C"/>
    <w:rsid w:val="00F12E9F"/>
    <w:rsid w:val="00F13418"/>
    <w:rsid w:val="00F15790"/>
    <w:rsid w:val="00F30547"/>
    <w:rsid w:val="00F310A7"/>
    <w:rsid w:val="00F3200F"/>
    <w:rsid w:val="00F3280C"/>
    <w:rsid w:val="00F32AD8"/>
    <w:rsid w:val="00F33722"/>
    <w:rsid w:val="00F35206"/>
    <w:rsid w:val="00F3638E"/>
    <w:rsid w:val="00F36955"/>
    <w:rsid w:val="00F411AD"/>
    <w:rsid w:val="00F42FCA"/>
    <w:rsid w:val="00F4687B"/>
    <w:rsid w:val="00F53888"/>
    <w:rsid w:val="00F53B83"/>
    <w:rsid w:val="00F614F6"/>
    <w:rsid w:val="00F6169C"/>
    <w:rsid w:val="00F61F9D"/>
    <w:rsid w:val="00F624D5"/>
    <w:rsid w:val="00F62673"/>
    <w:rsid w:val="00F62794"/>
    <w:rsid w:val="00F639F3"/>
    <w:rsid w:val="00F65458"/>
    <w:rsid w:val="00F6545F"/>
    <w:rsid w:val="00F71402"/>
    <w:rsid w:val="00F76881"/>
    <w:rsid w:val="00F77BD1"/>
    <w:rsid w:val="00F8044D"/>
    <w:rsid w:val="00F839D6"/>
    <w:rsid w:val="00F919ED"/>
    <w:rsid w:val="00F93408"/>
    <w:rsid w:val="00F97BBD"/>
    <w:rsid w:val="00FA06B5"/>
    <w:rsid w:val="00FA1D16"/>
    <w:rsid w:val="00FA2913"/>
    <w:rsid w:val="00FA56AE"/>
    <w:rsid w:val="00FA61C3"/>
    <w:rsid w:val="00FB2AF8"/>
    <w:rsid w:val="00FB32C0"/>
    <w:rsid w:val="00FC26A4"/>
    <w:rsid w:val="00FC2A6C"/>
    <w:rsid w:val="00FC54FD"/>
    <w:rsid w:val="00FC786D"/>
    <w:rsid w:val="00FD249C"/>
    <w:rsid w:val="00FD2FDD"/>
    <w:rsid w:val="00FD5D2E"/>
    <w:rsid w:val="00FE13BC"/>
    <w:rsid w:val="00FE1590"/>
    <w:rsid w:val="00FE3953"/>
    <w:rsid w:val="00FE42F7"/>
    <w:rsid w:val="00FE4E6A"/>
    <w:rsid w:val="00FE78CB"/>
    <w:rsid w:val="00FE7C33"/>
    <w:rsid w:val="00FF0B99"/>
    <w:rsid w:val="00FF40B5"/>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CC60A0"/>
  <w15:chartTrackingRefBased/>
  <w15:docId w15:val="{8A98126C-658A-404A-8C94-35D0E78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3C"/>
    <w:pPr>
      <w:overflowPunct w:val="0"/>
      <w:autoSpaceDE w:val="0"/>
      <w:autoSpaceDN w:val="0"/>
      <w:adjustRightInd w:val="0"/>
      <w:spacing w:after="0" w:line="240" w:lineRule="auto"/>
      <w:jc w:val="both"/>
    </w:pPr>
    <w:rPr>
      <w:rFonts w:eastAsia="Times New Roman" w:cs="Times New Roman"/>
      <w:szCs w:val="20"/>
      <w:lang w:eastAsia="en-GB"/>
    </w:rPr>
  </w:style>
  <w:style w:type="paragraph" w:styleId="Heading1">
    <w:name w:val="heading 1"/>
    <w:basedOn w:val="Normal"/>
    <w:next w:val="Normal"/>
    <w:link w:val="Heading1Char"/>
    <w:uiPriority w:val="9"/>
    <w:qFormat/>
    <w:rsid w:val="004C56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5D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3453C"/>
    <w:rPr>
      <w:b/>
    </w:rPr>
  </w:style>
  <w:style w:type="character" w:customStyle="1" w:styleId="BodyTextChar">
    <w:name w:val="Body Text Char"/>
    <w:basedOn w:val="DefaultParagraphFont"/>
    <w:link w:val="BodyText"/>
    <w:semiHidden/>
    <w:rsid w:val="0053453C"/>
    <w:rPr>
      <w:rFonts w:eastAsia="Times New Roman" w:cs="Times New Roman"/>
      <w:b/>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53453C"/>
    <w:rPr>
      <w:rFonts w:eastAsia="Times New Roman" w:cs="Arial"/>
      <w:sz w:val="23"/>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53C"/>
    <w:pPr>
      <w:overflowPunct/>
      <w:autoSpaceDE/>
      <w:autoSpaceDN/>
      <w:adjustRightInd/>
      <w:ind w:left="720"/>
      <w:jc w:val="left"/>
    </w:pPr>
    <w:rPr>
      <w:rFonts w:cs="Arial"/>
      <w:sz w:val="23"/>
      <w:szCs w:val="22"/>
      <w:lang w:eastAsia="en-US"/>
    </w:rPr>
  </w:style>
  <w:style w:type="paragraph" w:customStyle="1" w:styleId="Default">
    <w:name w:val="Default"/>
    <w:rsid w:val="0053453C"/>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16226A"/>
    <w:rPr>
      <w:color w:val="0563C1" w:themeColor="hyperlink"/>
      <w:u w:val="single"/>
    </w:rPr>
  </w:style>
  <w:style w:type="paragraph" w:styleId="Header">
    <w:name w:val="header"/>
    <w:basedOn w:val="Normal"/>
    <w:link w:val="HeaderChar"/>
    <w:uiPriority w:val="99"/>
    <w:unhideWhenUsed/>
    <w:rsid w:val="0013318A"/>
    <w:pPr>
      <w:tabs>
        <w:tab w:val="center" w:pos="4513"/>
        <w:tab w:val="right" w:pos="9026"/>
      </w:tabs>
    </w:pPr>
  </w:style>
  <w:style w:type="character" w:customStyle="1" w:styleId="HeaderChar">
    <w:name w:val="Header Char"/>
    <w:basedOn w:val="DefaultParagraphFont"/>
    <w:link w:val="Header"/>
    <w:uiPriority w:val="99"/>
    <w:rsid w:val="0013318A"/>
    <w:rPr>
      <w:rFonts w:eastAsia="Times New Roman" w:cs="Times New Roman"/>
      <w:szCs w:val="20"/>
      <w:lang w:eastAsia="en-GB"/>
    </w:rPr>
  </w:style>
  <w:style w:type="paragraph" w:styleId="Footer">
    <w:name w:val="footer"/>
    <w:basedOn w:val="Normal"/>
    <w:link w:val="FooterChar"/>
    <w:uiPriority w:val="99"/>
    <w:unhideWhenUsed/>
    <w:rsid w:val="0013318A"/>
    <w:pPr>
      <w:tabs>
        <w:tab w:val="center" w:pos="4513"/>
        <w:tab w:val="right" w:pos="9026"/>
      </w:tabs>
    </w:pPr>
  </w:style>
  <w:style w:type="character" w:customStyle="1" w:styleId="FooterChar">
    <w:name w:val="Footer Char"/>
    <w:basedOn w:val="DefaultParagraphFont"/>
    <w:link w:val="Footer"/>
    <w:uiPriority w:val="99"/>
    <w:rsid w:val="0013318A"/>
    <w:rPr>
      <w:rFonts w:eastAsia="Times New Roman" w:cs="Times New Roman"/>
      <w:szCs w:val="20"/>
      <w:lang w:eastAsia="en-GB"/>
    </w:rPr>
  </w:style>
  <w:style w:type="paragraph" w:styleId="BalloonText">
    <w:name w:val="Balloon Text"/>
    <w:basedOn w:val="Normal"/>
    <w:link w:val="BalloonTextChar"/>
    <w:uiPriority w:val="99"/>
    <w:semiHidden/>
    <w:unhideWhenUsed/>
    <w:rsid w:val="00907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34"/>
    <w:rPr>
      <w:rFonts w:ascii="Segoe UI" w:eastAsia="Times New Roman" w:hAnsi="Segoe UI" w:cs="Segoe UI"/>
      <w:sz w:val="18"/>
      <w:szCs w:val="18"/>
      <w:lang w:eastAsia="en-GB"/>
    </w:rPr>
  </w:style>
  <w:style w:type="table" w:customStyle="1" w:styleId="TableGrid">
    <w:name w:val="TableGrid"/>
    <w:rsid w:val="00907F46"/>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C567E"/>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912345"/>
    <w:rPr>
      <w:sz w:val="16"/>
      <w:szCs w:val="16"/>
    </w:rPr>
  </w:style>
  <w:style w:type="paragraph" w:styleId="CommentText">
    <w:name w:val="annotation text"/>
    <w:basedOn w:val="Normal"/>
    <w:link w:val="CommentTextChar"/>
    <w:uiPriority w:val="99"/>
    <w:semiHidden/>
    <w:unhideWhenUsed/>
    <w:rsid w:val="00912345"/>
    <w:rPr>
      <w:sz w:val="20"/>
    </w:rPr>
  </w:style>
  <w:style w:type="character" w:customStyle="1" w:styleId="CommentTextChar">
    <w:name w:val="Comment Text Char"/>
    <w:basedOn w:val="DefaultParagraphFont"/>
    <w:link w:val="CommentText"/>
    <w:uiPriority w:val="99"/>
    <w:semiHidden/>
    <w:rsid w:val="0091234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2345"/>
    <w:rPr>
      <w:b/>
      <w:bCs/>
    </w:rPr>
  </w:style>
  <w:style w:type="character" w:customStyle="1" w:styleId="CommentSubjectChar">
    <w:name w:val="Comment Subject Char"/>
    <w:basedOn w:val="CommentTextChar"/>
    <w:link w:val="CommentSubject"/>
    <w:uiPriority w:val="99"/>
    <w:semiHidden/>
    <w:rsid w:val="00912345"/>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E95DE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EBF7-71F2-4B41-98C1-D0BA9F70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29D2CAB8</Template>
  <TotalTime>1</TotalTime>
  <Pages>7</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Graham</dc:creator>
  <cp:keywords/>
  <dc:description/>
  <cp:lastModifiedBy>Roberts Charlotte</cp:lastModifiedBy>
  <cp:revision>2</cp:revision>
  <cp:lastPrinted>2019-04-04T08:44:00Z</cp:lastPrinted>
  <dcterms:created xsi:type="dcterms:W3CDTF">2019-04-26T06:56:00Z</dcterms:created>
  <dcterms:modified xsi:type="dcterms:W3CDTF">2019-04-26T06:56:00Z</dcterms:modified>
</cp:coreProperties>
</file>