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1382E" w14:textId="77777777" w:rsidR="003961EB" w:rsidRDefault="003961EB" w:rsidP="003961EB">
      <w:pPr>
        <w:jc w:val="center"/>
        <w:rPr>
          <w:rFonts w:ascii="Arial" w:hAnsi="Arial" w:cs="Arial"/>
          <w:b/>
          <w:sz w:val="32"/>
          <w:szCs w:val="32"/>
        </w:rPr>
      </w:pPr>
    </w:p>
    <w:p w14:paraId="76150CE2" w14:textId="20E726A1" w:rsidR="003961EB" w:rsidRPr="00AC462C" w:rsidRDefault="003961EB" w:rsidP="003961EB">
      <w:pPr>
        <w:jc w:val="center"/>
        <w:rPr>
          <w:rFonts w:ascii="Arial" w:hAnsi="Arial" w:cs="Arial"/>
          <w:b/>
          <w:sz w:val="32"/>
          <w:szCs w:val="32"/>
        </w:rPr>
      </w:pPr>
      <w:r w:rsidRPr="00AC462C">
        <w:rPr>
          <w:rFonts w:ascii="Arial" w:hAnsi="Arial" w:cs="Arial"/>
          <w:b/>
          <w:sz w:val="32"/>
          <w:szCs w:val="32"/>
        </w:rPr>
        <w:t>Appendix 1</w:t>
      </w:r>
      <w:r>
        <w:rPr>
          <w:rFonts w:ascii="Arial" w:hAnsi="Arial" w:cs="Arial"/>
          <w:b/>
          <w:sz w:val="32"/>
          <w:szCs w:val="32"/>
        </w:rPr>
        <w:t xml:space="preserve">: </w:t>
      </w:r>
      <w:r w:rsidR="00F05993">
        <w:rPr>
          <w:rFonts w:ascii="Arial" w:hAnsi="Arial" w:cs="Arial"/>
          <w:b/>
          <w:sz w:val="32"/>
          <w:szCs w:val="32"/>
        </w:rPr>
        <w:t>Grant Opportunity</w:t>
      </w:r>
    </w:p>
    <w:p w14:paraId="209C2194" w14:textId="77777777" w:rsidR="003961EB" w:rsidRPr="005F42A0" w:rsidRDefault="003961EB" w:rsidP="003961EB">
      <w:pPr>
        <w:spacing w:after="0" w:line="276" w:lineRule="auto"/>
        <w:rPr>
          <w:rFonts w:ascii="Arial" w:hAnsi="Arial" w:cs="Arial"/>
          <w:sz w:val="20"/>
          <w:szCs w:val="20"/>
        </w:rPr>
      </w:pPr>
      <w:bookmarkStart w:id="0" w:name="_tn1wl4qlpyr2" w:colFirst="0" w:colLast="0"/>
      <w:bookmarkEnd w:id="0"/>
    </w:p>
    <w:p w14:paraId="20C0FEC3" w14:textId="77777777" w:rsidR="003961EB" w:rsidRPr="00671123" w:rsidRDefault="003961EB" w:rsidP="003961EB">
      <w:pPr>
        <w:pStyle w:val="Level1Number"/>
        <w:rPr>
          <w:b/>
          <w:sz w:val="28"/>
        </w:rPr>
      </w:pPr>
      <w:r w:rsidRPr="00671123">
        <w:rPr>
          <w:b/>
          <w:sz w:val="28"/>
        </w:rPr>
        <w:t>Summary of Grant Opportunity</w:t>
      </w:r>
    </w:p>
    <w:p w14:paraId="26FA4A12" w14:textId="0EEB755D" w:rsidR="003961EB" w:rsidRDefault="003961EB" w:rsidP="003961EB">
      <w:pPr>
        <w:pStyle w:val="Level2Number"/>
      </w:pPr>
      <w:r w:rsidRPr="00AD62C6">
        <w:t xml:space="preserve">This </w:t>
      </w:r>
      <w:r>
        <w:t xml:space="preserve">Grant opportunity has been issued by the Police </w:t>
      </w:r>
      <w:r w:rsidRPr="00AD62C6">
        <w:t>&amp; Crime Commissioner</w:t>
      </w:r>
      <w:r w:rsidR="00E14048">
        <w:t xml:space="preserve"> (PCC)</w:t>
      </w:r>
      <w:r w:rsidRPr="00AD62C6">
        <w:t xml:space="preserve"> </w:t>
      </w:r>
      <w:r w:rsidR="00E14048">
        <w:t xml:space="preserve">for Thames Valley </w:t>
      </w:r>
      <w:r w:rsidRPr="00AD62C6">
        <w:t xml:space="preserve">in connection </w:t>
      </w:r>
      <w:r>
        <w:t xml:space="preserve">with </w:t>
      </w:r>
      <w:r w:rsidRPr="00AD62C6">
        <w:t xml:space="preserve">the provision of </w:t>
      </w:r>
      <w:r>
        <w:t xml:space="preserve">a Road Victim Support Service covering </w:t>
      </w:r>
      <w:r w:rsidRPr="00F92C4D">
        <w:t xml:space="preserve">Berkshire, Buckinghamshire, Oxfordshire </w:t>
      </w:r>
      <w:bookmarkStart w:id="1" w:name="_GoBack"/>
      <w:bookmarkEnd w:id="1"/>
      <w:r w:rsidRPr="00F92C4D">
        <w:t>and Milton Keynes</w:t>
      </w:r>
      <w:r>
        <w:t>.</w:t>
      </w:r>
    </w:p>
    <w:p w14:paraId="6AF85619" w14:textId="77777777" w:rsidR="003961EB" w:rsidRDefault="003961EB" w:rsidP="003961EB">
      <w:pPr>
        <w:pStyle w:val="Level2Number"/>
        <w:spacing w:after="0" w:line="276" w:lineRule="auto"/>
      </w:pPr>
      <w:r w:rsidRPr="00166614">
        <w:t xml:space="preserve">The intention is to award any resulting </w:t>
      </w:r>
      <w:r>
        <w:t>grant</w:t>
      </w:r>
      <w:r w:rsidRPr="00166614">
        <w:t xml:space="preserve"> for a period of 1-year, commencing on the 1</w:t>
      </w:r>
      <w:r w:rsidRPr="00166614">
        <w:rPr>
          <w:vertAlign w:val="superscript"/>
        </w:rPr>
        <w:t>st</w:t>
      </w:r>
      <w:r w:rsidRPr="00166614">
        <w:t xml:space="preserve"> April 2025 as a local proof of concept. There may be some variance in the dates, </w:t>
      </w:r>
      <w:r>
        <w:t>depending on when the service commences</w:t>
      </w:r>
      <w:r w:rsidRPr="00166614">
        <w:t>.</w:t>
      </w:r>
    </w:p>
    <w:p w14:paraId="540BFAD0" w14:textId="77777777" w:rsidR="003961EB" w:rsidRDefault="003961EB" w:rsidP="003961EB">
      <w:pPr>
        <w:pStyle w:val="Level2Number"/>
        <w:numPr>
          <w:ilvl w:val="0"/>
          <w:numId w:val="0"/>
        </w:numPr>
        <w:spacing w:after="0" w:line="276" w:lineRule="auto"/>
        <w:ind w:left="851"/>
      </w:pPr>
    </w:p>
    <w:p w14:paraId="6AA1CF9B" w14:textId="22FB92B6" w:rsidR="003961EB" w:rsidRDefault="003961EB" w:rsidP="003961EB">
      <w:pPr>
        <w:pStyle w:val="Level2Number"/>
        <w:spacing w:after="0" w:line="276" w:lineRule="auto"/>
      </w:pPr>
      <w:r>
        <w:t>T</w:t>
      </w:r>
      <w:r w:rsidRPr="00166614">
        <w:t xml:space="preserve">he value of the </w:t>
      </w:r>
      <w:r w:rsidR="001F47F9">
        <w:t xml:space="preserve">grant is </w:t>
      </w:r>
      <w:r w:rsidRPr="00166614">
        <w:t>£60,000 per annum. Bids submitted that exceed the maximum value will be deemed as non-compliant and therefore will not be evaluated.</w:t>
      </w:r>
    </w:p>
    <w:p w14:paraId="62835386" w14:textId="0D5271D1" w:rsidR="003961EB" w:rsidRPr="00C67731" w:rsidRDefault="003961EB" w:rsidP="001F47F9">
      <w:pPr>
        <w:pStyle w:val="Level2Number"/>
        <w:numPr>
          <w:ilvl w:val="0"/>
          <w:numId w:val="0"/>
        </w:numPr>
        <w:spacing w:after="0" w:line="276" w:lineRule="auto"/>
      </w:pPr>
    </w:p>
    <w:p w14:paraId="112936D2" w14:textId="77777777" w:rsidR="008D3D64" w:rsidRDefault="003961EB" w:rsidP="008D3D64">
      <w:pPr>
        <w:pStyle w:val="Level1Number"/>
        <w:rPr>
          <w:b/>
          <w:sz w:val="28"/>
        </w:rPr>
      </w:pPr>
      <w:r w:rsidRPr="00671123">
        <w:rPr>
          <w:b/>
          <w:sz w:val="28"/>
        </w:rPr>
        <w:t>Background</w:t>
      </w:r>
    </w:p>
    <w:p w14:paraId="01A3C93B" w14:textId="16ABDC2A" w:rsidR="003961EB" w:rsidRPr="004263B0" w:rsidRDefault="003961EB" w:rsidP="004263B0">
      <w:pPr>
        <w:pStyle w:val="Level2Number"/>
        <w:rPr>
          <w:b/>
          <w:sz w:val="28"/>
        </w:rPr>
      </w:pPr>
      <w:r w:rsidRPr="00191BE2">
        <w:t xml:space="preserve">The </w:t>
      </w:r>
      <w:r w:rsidR="00E14048">
        <w:t>PCC</w:t>
      </w:r>
      <w:r w:rsidRPr="00191BE2">
        <w:t xml:space="preserve"> for Thames Valley </w:t>
      </w:r>
      <w:r w:rsidR="00E14048">
        <w:t xml:space="preserve">is inviting bids from </w:t>
      </w:r>
      <w:r w:rsidRPr="00191BE2">
        <w:t>organisations t</w:t>
      </w:r>
      <w:r w:rsidR="00E14048">
        <w:t>hat can</w:t>
      </w:r>
      <w:r w:rsidRPr="00191BE2">
        <w:t xml:space="preserve"> provide a support service that offers advocacy, emotional and practical support to </w:t>
      </w:r>
      <w:r w:rsidR="00E14048">
        <w:t xml:space="preserve">Thames Valley residents </w:t>
      </w:r>
      <w:r w:rsidRPr="00191BE2">
        <w:t xml:space="preserve">seriously injured as a result of a road traffic incident. </w:t>
      </w:r>
    </w:p>
    <w:p w14:paraId="036B9888" w14:textId="77777777" w:rsidR="003961EB" w:rsidRPr="00191BE2" w:rsidRDefault="003961EB" w:rsidP="003961EB">
      <w:pPr>
        <w:pStyle w:val="Level2Number"/>
        <w:spacing w:after="0" w:line="276" w:lineRule="auto"/>
      </w:pPr>
      <w:r w:rsidRPr="00191BE2">
        <w:t>Below is an overview of Thames Valley to contextualise the environment in which the service will operate.</w:t>
      </w:r>
    </w:p>
    <w:p w14:paraId="51C74072" w14:textId="77777777" w:rsidR="003961EB" w:rsidRDefault="003961EB" w:rsidP="003961EB">
      <w:pPr>
        <w:spacing w:after="0" w:line="276" w:lineRule="auto"/>
        <w:rPr>
          <w:rFonts w:ascii="Arial" w:hAnsi="Arial" w:cs="Arial"/>
          <w:sz w:val="20"/>
          <w:szCs w:val="20"/>
        </w:rPr>
      </w:pPr>
    </w:p>
    <w:p w14:paraId="64002CBD" w14:textId="682AD024" w:rsidR="003961EB" w:rsidRPr="00F92C4D" w:rsidRDefault="003961EB" w:rsidP="003961EB">
      <w:pPr>
        <w:pStyle w:val="Level3Number"/>
      </w:pPr>
      <w:r w:rsidRPr="00191BE2">
        <w:rPr>
          <w:b/>
        </w:rPr>
        <w:t>Police &amp; Crime Commissioner</w:t>
      </w:r>
      <w:r w:rsidR="00E14048">
        <w:rPr>
          <w:b/>
        </w:rPr>
        <w:t xml:space="preserve"> for Thames Valley</w:t>
      </w:r>
    </w:p>
    <w:p w14:paraId="75C128A5" w14:textId="4D7FDF40" w:rsidR="003961EB" w:rsidRDefault="003961EB" w:rsidP="003961EB">
      <w:pPr>
        <w:pStyle w:val="Level3Number"/>
        <w:numPr>
          <w:ilvl w:val="0"/>
          <w:numId w:val="0"/>
        </w:numPr>
        <w:ind w:left="851"/>
      </w:pPr>
      <w:r>
        <w:t xml:space="preserve">Police </w:t>
      </w:r>
      <w:r w:rsidR="00E14048">
        <w:t>and</w:t>
      </w:r>
      <w:r>
        <w:t xml:space="preserve"> Crime Commissioners (PCCs) are elected in areas of England and Wales to make sure that local police meet the needs of the community. Working on behalf of the public, PCCs are responsible for holding the Chief Constable to account for an efficient and effective local police service.</w:t>
      </w:r>
    </w:p>
    <w:p w14:paraId="0E4147EB" w14:textId="77777777" w:rsidR="003961EB" w:rsidRDefault="003961EB" w:rsidP="003961EB">
      <w:pPr>
        <w:pStyle w:val="Level3Number"/>
        <w:numPr>
          <w:ilvl w:val="0"/>
          <w:numId w:val="0"/>
        </w:numPr>
        <w:ind w:left="851"/>
      </w:pPr>
      <w:r>
        <w:t>PCCs</w:t>
      </w:r>
      <w:r w:rsidRPr="00AB19C1">
        <w:t xml:space="preserve"> are required to determine local policing priorities, publish a five-year police and crime plan, set a local precept and set the annual force budget. The</w:t>
      </w:r>
      <w:r>
        <w:t xml:space="preserve"> local</w:t>
      </w:r>
      <w:r w:rsidRPr="00AB19C1">
        <w:t xml:space="preserve"> </w:t>
      </w:r>
      <w:hyperlink r:id="rId10" w:history="1">
        <w:r w:rsidRPr="00904D85">
          <w:rPr>
            <w:rStyle w:val="Hyperlink"/>
          </w:rPr>
          <w:t>Police &amp; Crime Plan 2024-2029</w:t>
        </w:r>
      </w:hyperlink>
      <w:r>
        <w:t xml:space="preserve"> </w:t>
      </w:r>
      <w:r w:rsidRPr="00AB19C1">
        <w:t>focuses on the key areas the force will be expected to deliver on – issues that matter to local people, alongside other national policing requirements.</w:t>
      </w:r>
    </w:p>
    <w:p w14:paraId="7970AD27" w14:textId="7E8A9610" w:rsidR="003961EB" w:rsidRDefault="003961EB" w:rsidP="003961EB">
      <w:pPr>
        <w:pStyle w:val="Level3Number"/>
        <w:numPr>
          <w:ilvl w:val="0"/>
          <w:numId w:val="0"/>
        </w:numPr>
        <w:ind w:left="851"/>
      </w:pPr>
      <w:r>
        <w:t xml:space="preserve">The focus of the recently published PCC Road Safety Strategy, </w:t>
      </w:r>
      <w:hyperlink r:id="rId11" w:history="1">
        <w:r w:rsidRPr="00904D85">
          <w:rPr>
            <w:rStyle w:val="Hyperlink"/>
          </w:rPr>
          <w:t>Safer Roads for all 2024</w:t>
        </w:r>
      </w:hyperlink>
      <w:r>
        <w:t xml:space="preserve">, </w:t>
      </w:r>
      <w:r w:rsidRPr="00A3708F">
        <w:t>is to prioritise the areas that present the greatest risk</w:t>
      </w:r>
      <w:r>
        <w:t xml:space="preserve"> across the Safe System principles</w:t>
      </w:r>
      <w:r w:rsidRPr="00A3708F">
        <w:t>, with the long term objective of reducing the number of people killed and seriously injured in Thames Valley.</w:t>
      </w:r>
    </w:p>
    <w:p w14:paraId="72AFA681" w14:textId="77777777" w:rsidR="003961EB" w:rsidRPr="00F92C4D" w:rsidRDefault="003961EB" w:rsidP="003961EB">
      <w:pPr>
        <w:pStyle w:val="Level3Number"/>
        <w:rPr>
          <w:b/>
        </w:rPr>
      </w:pPr>
      <w:r w:rsidRPr="00F92C4D">
        <w:rPr>
          <w:b/>
        </w:rPr>
        <w:t xml:space="preserve">Victims First </w:t>
      </w:r>
    </w:p>
    <w:p w14:paraId="57938E16" w14:textId="5CC33183" w:rsidR="003961EB" w:rsidRDefault="003961EB" w:rsidP="003961EB">
      <w:pPr>
        <w:pStyle w:val="Level3Number"/>
        <w:numPr>
          <w:ilvl w:val="0"/>
          <w:numId w:val="0"/>
        </w:numPr>
        <w:ind w:left="851"/>
      </w:pPr>
      <w:r>
        <w:t>Victims First (VF) is an in-house victim support service commissioned by the PCC. They provide</w:t>
      </w:r>
      <w:r w:rsidRPr="00F92C4D">
        <w:t xml:space="preserve"> </w:t>
      </w:r>
      <w:r w:rsidR="00525C21">
        <w:t xml:space="preserve">a referral mechanism and access to </w:t>
      </w:r>
      <w:r w:rsidRPr="00F92C4D">
        <w:t>free emotional and practical support to victims and witnesses of crime, as well as family members of victims, living in the Thames Valley (Berkshire, Buckinghamshire, Oxfordshire and Milton Keynes).</w:t>
      </w:r>
    </w:p>
    <w:p w14:paraId="52BEB922" w14:textId="77777777" w:rsidR="003961EB" w:rsidRDefault="003961EB" w:rsidP="003961EB">
      <w:pPr>
        <w:pStyle w:val="Level3Number"/>
        <w:numPr>
          <w:ilvl w:val="0"/>
          <w:numId w:val="0"/>
        </w:numPr>
        <w:ind w:left="851"/>
      </w:pPr>
      <w:r>
        <w:t>Dedicated to ensuring all victims receive the support they need to cope with the impact of crime and build resilience. They offer support regardless of how long ago the crime was committed and whether the crime was reported to the police.</w:t>
      </w:r>
    </w:p>
    <w:p w14:paraId="79D130B4" w14:textId="77777777" w:rsidR="003961EB" w:rsidRDefault="003961EB" w:rsidP="003961EB">
      <w:pPr>
        <w:pStyle w:val="Level3Number"/>
        <w:rPr>
          <w:b/>
        </w:rPr>
      </w:pPr>
      <w:r w:rsidRPr="00F92C4D">
        <w:rPr>
          <w:b/>
        </w:rPr>
        <w:t>Thames Valley Police</w:t>
      </w:r>
    </w:p>
    <w:p w14:paraId="6946640C" w14:textId="77777777" w:rsidR="003961EB" w:rsidRDefault="003961EB" w:rsidP="003961EB">
      <w:pPr>
        <w:pStyle w:val="Level3Number"/>
        <w:numPr>
          <w:ilvl w:val="0"/>
          <w:numId w:val="0"/>
        </w:numPr>
        <w:ind w:left="851"/>
      </w:pPr>
      <w:r w:rsidRPr="00191BE2">
        <w:t>Thames Valley Police (TVP) are responsible for policing the roads of Berkshire, B</w:t>
      </w:r>
      <w:r>
        <w:t xml:space="preserve">uckinghamshire and </w:t>
      </w:r>
      <w:r w:rsidRPr="00191BE2">
        <w:t>Oxfordshire. The Thames Valley has a diverse road network, including urban and rural roads and an extensive motorway network. This includes large parts of the M1, M4, M40 and M25 motorways, a total of 196 miles; more than any other British police force. Road safety is, therefore, a key issue for police, local authorities and the community.</w:t>
      </w:r>
    </w:p>
    <w:p w14:paraId="4C790789" w14:textId="77777777" w:rsidR="003961EB" w:rsidRDefault="003961EB" w:rsidP="003961EB">
      <w:pPr>
        <w:pStyle w:val="Level3Number"/>
        <w:numPr>
          <w:ilvl w:val="0"/>
          <w:numId w:val="0"/>
        </w:numPr>
        <w:ind w:left="851"/>
      </w:pPr>
      <w:r w:rsidRPr="00A3708F">
        <w:t>Thames Valley Police’s Roads Policing Unit operates as part of the Joint Operations Unit</w:t>
      </w:r>
      <w:r>
        <w:t xml:space="preserve"> (JOU)</w:t>
      </w:r>
      <w:r w:rsidRPr="00A3708F">
        <w:t xml:space="preserve"> in collaboration with Hampshire Constabulary</w:t>
      </w:r>
      <w:r>
        <w:t xml:space="preserve">. The JOU forms a major part of both Forces protective services, assembling together highly specialised units and teams with a vast array of specialist capabilities. </w:t>
      </w:r>
    </w:p>
    <w:p w14:paraId="5A22F12E" w14:textId="77777777" w:rsidR="009C2E13" w:rsidRDefault="003961EB" w:rsidP="003961EB">
      <w:pPr>
        <w:pStyle w:val="Level2Number"/>
        <w:numPr>
          <w:ilvl w:val="0"/>
          <w:numId w:val="0"/>
        </w:numPr>
        <w:ind w:left="851"/>
        <w:rPr>
          <w:lang w:eastAsia="en-GB"/>
        </w:rPr>
      </w:pPr>
      <w:r w:rsidRPr="00293580">
        <w:rPr>
          <w:lang w:eastAsia="en-GB"/>
        </w:rPr>
        <w:t>In the Thames Valley, Family Liaison Officers (FLOs) are assigned to fatalities categorised as A</w:t>
      </w:r>
      <w:r w:rsidR="00EF5CFB">
        <w:rPr>
          <w:lang w:eastAsia="en-GB"/>
        </w:rPr>
        <w:t>+, A</w:t>
      </w:r>
      <w:r w:rsidRPr="00293580">
        <w:rPr>
          <w:lang w:eastAsia="en-GB"/>
        </w:rPr>
        <w:t xml:space="preserve"> </w:t>
      </w:r>
      <w:r w:rsidR="00EF5CFB">
        <w:rPr>
          <w:lang w:eastAsia="en-GB"/>
        </w:rPr>
        <w:t>or</w:t>
      </w:r>
      <w:r w:rsidRPr="00293580">
        <w:rPr>
          <w:lang w:eastAsia="en-GB"/>
        </w:rPr>
        <w:t xml:space="preserve"> B. Category C fatalities are less likely to have a FLO due to resource challenges, and Category D fatalities receive no FLO support. </w:t>
      </w:r>
    </w:p>
    <w:tbl>
      <w:tblPr>
        <w:tblStyle w:val="GridTable2-Accent3"/>
        <w:tblW w:w="5000" w:type="pct"/>
        <w:tblLook w:val="04A0" w:firstRow="1" w:lastRow="0" w:firstColumn="1" w:lastColumn="0" w:noHBand="0" w:noVBand="1"/>
      </w:tblPr>
      <w:tblGrid>
        <w:gridCol w:w="1419"/>
        <w:gridCol w:w="5811"/>
        <w:gridCol w:w="1796"/>
      </w:tblGrid>
      <w:tr w:rsidR="009C2E13" w:rsidRPr="009C2E13" w14:paraId="23D982B9" w14:textId="77777777" w:rsidTr="009C2E13">
        <w:trPr>
          <w:cnfStyle w:val="100000000000" w:firstRow="1" w:lastRow="0" w:firstColumn="0" w:lastColumn="0" w:oddVBand="0" w:evenVBand="0" w:oddHBand="0"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786" w:type="pct"/>
            <w:shd w:val="clear" w:color="auto" w:fill="002060"/>
            <w:vAlign w:val="center"/>
          </w:tcPr>
          <w:p w14:paraId="098B4675" w14:textId="77777777" w:rsidR="009C2E13" w:rsidRPr="009C2E13" w:rsidRDefault="009C2E13" w:rsidP="009C2E13">
            <w:pPr>
              <w:pStyle w:val="Level2Number"/>
              <w:numPr>
                <w:ilvl w:val="0"/>
                <w:numId w:val="0"/>
              </w:numPr>
              <w:jc w:val="center"/>
              <w:rPr>
                <w:rFonts w:asciiTheme="minorHAnsi" w:hAnsiTheme="minorHAnsi" w:cstheme="minorHAnsi"/>
                <w:lang w:eastAsia="en-GB"/>
              </w:rPr>
            </w:pPr>
            <w:r>
              <w:rPr>
                <w:rFonts w:asciiTheme="minorHAnsi" w:hAnsiTheme="minorHAnsi" w:cstheme="minorHAnsi"/>
                <w:lang w:eastAsia="en-GB"/>
              </w:rPr>
              <w:t xml:space="preserve">Fatal RTC </w:t>
            </w:r>
            <w:r w:rsidRPr="009C2E13">
              <w:rPr>
                <w:rFonts w:asciiTheme="minorHAnsi" w:hAnsiTheme="minorHAnsi" w:cstheme="minorHAnsi"/>
                <w:lang w:eastAsia="en-GB"/>
              </w:rPr>
              <w:t>classification</w:t>
            </w:r>
          </w:p>
        </w:tc>
        <w:tc>
          <w:tcPr>
            <w:tcW w:w="3219" w:type="pct"/>
            <w:shd w:val="clear" w:color="auto" w:fill="002060"/>
            <w:vAlign w:val="center"/>
          </w:tcPr>
          <w:p w14:paraId="3F1ABAB0" w14:textId="77777777" w:rsidR="009C2E13" w:rsidRPr="009C2E13" w:rsidRDefault="009C2E13" w:rsidP="009C2E13">
            <w:pPr>
              <w:pStyle w:val="Level2Number"/>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GB"/>
              </w:rPr>
            </w:pPr>
            <w:r w:rsidRPr="009C2E13">
              <w:rPr>
                <w:rFonts w:asciiTheme="minorHAnsi" w:hAnsiTheme="minorHAnsi" w:cstheme="minorHAnsi"/>
                <w:lang w:eastAsia="en-GB"/>
              </w:rPr>
              <w:t>Description</w:t>
            </w:r>
          </w:p>
        </w:tc>
        <w:tc>
          <w:tcPr>
            <w:tcW w:w="995" w:type="pct"/>
            <w:shd w:val="clear" w:color="auto" w:fill="002060"/>
            <w:vAlign w:val="center"/>
          </w:tcPr>
          <w:p w14:paraId="7F78D703" w14:textId="77777777" w:rsidR="009C2E13" w:rsidRDefault="009C2E13" w:rsidP="009C2E13">
            <w:pPr>
              <w:pStyle w:val="NoSpacing"/>
              <w:jc w:val="center"/>
              <w:cnfStyle w:val="100000000000" w:firstRow="1" w:lastRow="0" w:firstColumn="0" w:lastColumn="0" w:oddVBand="0" w:evenVBand="0" w:oddHBand="0" w:evenHBand="0" w:firstRowFirstColumn="0" w:firstRowLastColumn="0" w:lastRowFirstColumn="0" w:lastRowLastColumn="0"/>
              <w:rPr>
                <w:lang w:eastAsia="en-GB"/>
              </w:rPr>
            </w:pPr>
            <w:r>
              <w:rPr>
                <w:lang w:eastAsia="en-GB"/>
              </w:rPr>
              <w:t>Local TVP Data</w:t>
            </w:r>
          </w:p>
          <w:p w14:paraId="59DD8F91" w14:textId="07DA5A80" w:rsidR="009C2E13" w:rsidRPr="009C2E13" w:rsidRDefault="009C2E13" w:rsidP="001F47F9">
            <w:pPr>
              <w:pStyle w:val="NoSpacing"/>
              <w:jc w:val="center"/>
              <w:cnfStyle w:val="100000000000" w:firstRow="1" w:lastRow="0" w:firstColumn="0" w:lastColumn="0" w:oddVBand="0" w:evenVBand="0" w:oddHBand="0" w:evenHBand="0" w:firstRowFirstColumn="0" w:firstRowLastColumn="0" w:lastRowFirstColumn="0" w:lastRowLastColumn="0"/>
              <w:rPr>
                <w:lang w:eastAsia="en-GB"/>
              </w:rPr>
            </w:pPr>
            <w:r w:rsidRPr="009C2E13">
              <w:rPr>
                <w:lang w:eastAsia="en-GB"/>
              </w:rPr>
              <w:t>202</w:t>
            </w:r>
            <w:r w:rsidR="001F47F9">
              <w:rPr>
                <w:lang w:eastAsia="en-GB"/>
              </w:rPr>
              <w:t>3</w:t>
            </w:r>
            <w:r w:rsidRPr="009C2E13">
              <w:rPr>
                <w:lang w:eastAsia="en-GB"/>
              </w:rPr>
              <w:t>/2</w:t>
            </w:r>
            <w:r w:rsidR="001F47F9">
              <w:rPr>
                <w:lang w:eastAsia="en-GB"/>
              </w:rPr>
              <w:t>4</w:t>
            </w:r>
          </w:p>
        </w:tc>
      </w:tr>
      <w:tr w:rsidR="009C2E13" w:rsidRPr="009C2E13" w14:paraId="54BC35D9" w14:textId="77777777" w:rsidTr="0015480B">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786" w:type="pct"/>
            <w:shd w:val="clear" w:color="auto" w:fill="002060"/>
            <w:vAlign w:val="center"/>
          </w:tcPr>
          <w:p w14:paraId="6A78ACE6" w14:textId="77777777" w:rsidR="009C2E13" w:rsidRPr="009C2E13" w:rsidRDefault="009C2E13" w:rsidP="0015480B">
            <w:pPr>
              <w:pStyle w:val="NoSpacing"/>
              <w:rPr>
                <w:lang w:eastAsia="en-GB"/>
              </w:rPr>
            </w:pPr>
            <w:r w:rsidRPr="009C2E13">
              <w:rPr>
                <w:lang w:eastAsia="en-GB"/>
              </w:rPr>
              <w:t>Category A+</w:t>
            </w:r>
          </w:p>
        </w:tc>
        <w:tc>
          <w:tcPr>
            <w:tcW w:w="3219" w:type="pct"/>
          </w:tcPr>
          <w:p w14:paraId="328DEE83" w14:textId="77777777" w:rsidR="009C2E13" w:rsidRPr="009C2E13" w:rsidRDefault="009C2E13" w:rsidP="0015480B">
            <w:pPr>
              <w:pStyle w:val="NoSpacing"/>
              <w:cnfStyle w:val="000000100000" w:firstRow="0" w:lastRow="0" w:firstColumn="0" w:lastColumn="0" w:oddVBand="0" w:evenVBand="0" w:oddHBand="1" w:evenHBand="0" w:firstRowFirstColumn="0" w:firstRowLastColumn="0" w:lastRowFirstColumn="0" w:lastRowLastColumn="0"/>
              <w:rPr>
                <w:lang w:eastAsia="en-GB"/>
              </w:rPr>
            </w:pPr>
            <w:r w:rsidRPr="009C2E13">
              <w:rPr>
                <w:lang w:eastAsia="en-GB"/>
              </w:rPr>
              <w:t>Assessed as likely homicide investigation or where complexity requires the deployment of a nationally registered senior investigating officer (SIO).</w:t>
            </w:r>
          </w:p>
        </w:tc>
        <w:tc>
          <w:tcPr>
            <w:tcW w:w="995" w:type="pct"/>
            <w:vAlign w:val="center"/>
          </w:tcPr>
          <w:p w14:paraId="0A03F434" w14:textId="77777777" w:rsidR="009C2E13" w:rsidRPr="0015480B" w:rsidRDefault="009C2E13" w:rsidP="0015480B">
            <w:pPr>
              <w:pStyle w:val="NoSpacing"/>
              <w:jc w:val="center"/>
              <w:cnfStyle w:val="000000100000" w:firstRow="0" w:lastRow="0" w:firstColumn="0" w:lastColumn="0" w:oddVBand="0" w:evenVBand="0" w:oddHBand="1" w:evenHBand="0" w:firstRowFirstColumn="0" w:firstRowLastColumn="0" w:lastRowFirstColumn="0" w:lastRowLastColumn="0"/>
              <w:rPr>
                <w:b/>
                <w:lang w:eastAsia="en-GB"/>
              </w:rPr>
            </w:pPr>
            <w:r w:rsidRPr="0015480B">
              <w:rPr>
                <w:b/>
                <w:lang w:eastAsia="en-GB"/>
              </w:rPr>
              <w:t>0</w:t>
            </w:r>
          </w:p>
        </w:tc>
      </w:tr>
      <w:tr w:rsidR="009C2E13" w:rsidRPr="009C2E13" w14:paraId="05DAEB62" w14:textId="77777777" w:rsidTr="009C2E13">
        <w:tc>
          <w:tcPr>
            <w:cnfStyle w:val="001000000000" w:firstRow="0" w:lastRow="0" w:firstColumn="1" w:lastColumn="0" w:oddVBand="0" w:evenVBand="0" w:oddHBand="0" w:evenHBand="0" w:firstRowFirstColumn="0" w:firstRowLastColumn="0" w:lastRowFirstColumn="0" w:lastRowLastColumn="0"/>
            <w:tcW w:w="786" w:type="pct"/>
            <w:shd w:val="clear" w:color="auto" w:fill="002060"/>
            <w:vAlign w:val="center"/>
          </w:tcPr>
          <w:p w14:paraId="536AA032" w14:textId="77777777" w:rsidR="009C2E13" w:rsidRPr="009C2E13" w:rsidRDefault="009C2E13" w:rsidP="009C2E13">
            <w:pPr>
              <w:pStyle w:val="Level2Number"/>
              <w:numPr>
                <w:ilvl w:val="0"/>
                <w:numId w:val="0"/>
              </w:numPr>
              <w:jc w:val="center"/>
              <w:rPr>
                <w:rFonts w:asciiTheme="minorHAnsi" w:hAnsiTheme="minorHAnsi" w:cstheme="minorHAnsi"/>
                <w:lang w:eastAsia="en-GB"/>
              </w:rPr>
            </w:pPr>
            <w:r w:rsidRPr="009C2E13">
              <w:rPr>
                <w:rFonts w:asciiTheme="minorHAnsi" w:hAnsiTheme="minorHAnsi" w:cstheme="minorHAnsi"/>
                <w:lang w:eastAsia="en-GB"/>
              </w:rPr>
              <w:t>Category A</w:t>
            </w:r>
          </w:p>
        </w:tc>
        <w:tc>
          <w:tcPr>
            <w:tcW w:w="3219" w:type="pct"/>
          </w:tcPr>
          <w:p w14:paraId="3C907A40" w14:textId="77777777" w:rsidR="009C2E13" w:rsidRPr="009C2E13" w:rsidRDefault="009C2E13" w:rsidP="009C2E13">
            <w:pPr>
              <w:pStyle w:val="NoSpacing"/>
              <w:cnfStyle w:val="000000000000" w:firstRow="0" w:lastRow="0" w:firstColumn="0" w:lastColumn="0" w:oddVBand="0" w:evenVBand="0" w:oddHBand="0" w:evenHBand="0" w:firstRowFirstColumn="0" w:firstRowLastColumn="0" w:lastRowFirstColumn="0" w:lastRowLastColumn="0"/>
              <w:rPr>
                <w:lang w:eastAsia="en-GB"/>
              </w:rPr>
            </w:pPr>
            <w:r w:rsidRPr="009C2E13">
              <w:rPr>
                <w:lang w:eastAsia="en-GB"/>
              </w:rPr>
              <w:t>Confirmed fatality – one or more vehicles failed to stop and/or drivers decamped or other factors are present that significantly increase the complexity of the investigation.</w:t>
            </w:r>
          </w:p>
        </w:tc>
        <w:tc>
          <w:tcPr>
            <w:tcW w:w="995" w:type="pct"/>
            <w:vAlign w:val="center"/>
          </w:tcPr>
          <w:p w14:paraId="0DAECC29" w14:textId="77777777" w:rsidR="009C2E13" w:rsidRPr="009C2E13" w:rsidRDefault="009C2E13" w:rsidP="009C2E13">
            <w:pPr>
              <w:pStyle w:val="Level2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GB"/>
              </w:rPr>
            </w:pPr>
            <w:r w:rsidRPr="009C2E13">
              <w:rPr>
                <w:rFonts w:asciiTheme="minorHAnsi" w:hAnsiTheme="minorHAnsi" w:cstheme="minorHAnsi"/>
                <w:b/>
                <w:lang w:eastAsia="en-GB"/>
              </w:rPr>
              <w:t>2</w:t>
            </w:r>
          </w:p>
        </w:tc>
      </w:tr>
      <w:tr w:rsidR="009C2E13" w:rsidRPr="009C2E13" w14:paraId="086314FB" w14:textId="77777777" w:rsidTr="009C2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pct"/>
            <w:shd w:val="clear" w:color="auto" w:fill="002060"/>
            <w:vAlign w:val="center"/>
          </w:tcPr>
          <w:p w14:paraId="3A84C1B4" w14:textId="77777777" w:rsidR="009C2E13" w:rsidRPr="009C2E13" w:rsidRDefault="009C2E13" w:rsidP="009C2E13">
            <w:pPr>
              <w:pStyle w:val="Level2Number"/>
              <w:numPr>
                <w:ilvl w:val="0"/>
                <w:numId w:val="0"/>
              </w:numPr>
              <w:jc w:val="center"/>
              <w:rPr>
                <w:rFonts w:asciiTheme="minorHAnsi" w:hAnsiTheme="minorHAnsi" w:cstheme="minorHAnsi"/>
                <w:lang w:eastAsia="en-GB"/>
              </w:rPr>
            </w:pPr>
            <w:r w:rsidRPr="009C2E13">
              <w:rPr>
                <w:rFonts w:asciiTheme="minorHAnsi" w:hAnsiTheme="minorHAnsi" w:cstheme="minorHAnsi"/>
                <w:lang w:eastAsia="en-GB"/>
              </w:rPr>
              <w:t>Category B</w:t>
            </w:r>
          </w:p>
        </w:tc>
        <w:tc>
          <w:tcPr>
            <w:tcW w:w="3219" w:type="pct"/>
          </w:tcPr>
          <w:p w14:paraId="1207EB96" w14:textId="77777777" w:rsidR="009C2E13" w:rsidRPr="009C2E13" w:rsidRDefault="009C2E13" w:rsidP="009C2E13">
            <w:pPr>
              <w:pStyle w:val="NoSpacing"/>
              <w:cnfStyle w:val="000000100000" w:firstRow="0" w:lastRow="0" w:firstColumn="0" w:lastColumn="0" w:oddVBand="0" w:evenVBand="0" w:oddHBand="1" w:evenHBand="0" w:firstRowFirstColumn="0" w:firstRowLastColumn="0" w:lastRowFirstColumn="0" w:lastRowLastColumn="0"/>
              <w:rPr>
                <w:lang w:eastAsia="en-GB"/>
              </w:rPr>
            </w:pPr>
            <w:r w:rsidRPr="009C2E13">
              <w:rPr>
                <w:lang w:eastAsia="en-GB"/>
              </w:rPr>
              <w:t>Confirmed fatality – all drivers/riders are known or can be immediately identified.</w:t>
            </w:r>
          </w:p>
        </w:tc>
        <w:tc>
          <w:tcPr>
            <w:tcW w:w="995" w:type="pct"/>
            <w:vAlign w:val="center"/>
          </w:tcPr>
          <w:p w14:paraId="54E5A11F" w14:textId="77777777" w:rsidR="009C2E13" w:rsidRPr="009C2E13" w:rsidRDefault="009C2E13" w:rsidP="009C2E13">
            <w:pPr>
              <w:pStyle w:val="Level2Numbe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en-GB"/>
              </w:rPr>
            </w:pPr>
            <w:r w:rsidRPr="009C2E13">
              <w:rPr>
                <w:rFonts w:asciiTheme="minorHAnsi" w:hAnsiTheme="minorHAnsi" w:cstheme="minorHAnsi"/>
                <w:b/>
                <w:lang w:eastAsia="en-GB"/>
              </w:rPr>
              <w:t>22</w:t>
            </w:r>
          </w:p>
        </w:tc>
      </w:tr>
      <w:tr w:rsidR="009C2E13" w:rsidRPr="009C2E13" w14:paraId="6569E46E" w14:textId="77777777" w:rsidTr="009C2E13">
        <w:tc>
          <w:tcPr>
            <w:cnfStyle w:val="001000000000" w:firstRow="0" w:lastRow="0" w:firstColumn="1" w:lastColumn="0" w:oddVBand="0" w:evenVBand="0" w:oddHBand="0" w:evenHBand="0" w:firstRowFirstColumn="0" w:firstRowLastColumn="0" w:lastRowFirstColumn="0" w:lastRowLastColumn="0"/>
            <w:tcW w:w="786" w:type="pct"/>
            <w:shd w:val="clear" w:color="auto" w:fill="002060"/>
            <w:vAlign w:val="center"/>
          </w:tcPr>
          <w:p w14:paraId="5C28982E" w14:textId="77777777" w:rsidR="009C2E13" w:rsidRPr="009C2E13" w:rsidRDefault="009C2E13" w:rsidP="009C2E13">
            <w:pPr>
              <w:pStyle w:val="Level2Number"/>
              <w:numPr>
                <w:ilvl w:val="0"/>
                <w:numId w:val="0"/>
              </w:numPr>
              <w:jc w:val="center"/>
              <w:rPr>
                <w:rFonts w:asciiTheme="minorHAnsi" w:hAnsiTheme="minorHAnsi" w:cstheme="minorHAnsi"/>
                <w:lang w:eastAsia="en-GB"/>
              </w:rPr>
            </w:pPr>
            <w:r w:rsidRPr="009C2E13">
              <w:rPr>
                <w:rFonts w:asciiTheme="minorHAnsi" w:hAnsiTheme="minorHAnsi" w:cstheme="minorHAnsi"/>
                <w:lang w:eastAsia="en-GB"/>
              </w:rPr>
              <w:t>Category C</w:t>
            </w:r>
          </w:p>
        </w:tc>
        <w:tc>
          <w:tcPr>
            <w:tcW w:w="3219" w:type="pct"/>
          </w:tcPr>
          <w:p w14:paraId="1C6302FE" w14:textId="77777777" w:rsidR="009C2E13" w:rsidRPr="009C2E13" w:rsidRDefault="009C2E13" w:rsidP="009C2E13">
            <w:pPr>
              <w:pStyle w:val="NoSpacing"/>
              <w:cnfStyle w:val="000000000000" w:firstRow="0" w:lastRow="0" w:firstColumn="0" w:lastColumn="0" w:oddVBand="0" w:evenVBand="0" w:oddHBand="0" w:evenHBand="0" w:firstRowFirstColumn="0" w:firstRowLastColumn="0" w:lastRowFirstColumn="0" w:lastRowLastColumn="0"/>
              <w:rPr>
                <w:lang w:eastAsia="en-GB"/>
              </w:rPr>
            </w:pPr>
            <w:r w:rsidRPr="009C2E13">
              <w:rPr>
                <w:lang w:eastAsia="en-GB"/>
              </w:rPr>
              <w:t>Confirmed fatality – driver/rider only killed, no third party involvement – inquest only.</w:t>
            </w:r>
          </w:p>
        </w:tc>
        <w:tc>
          <w:tcPr>
            <w:tcW w:w="995" w:type="pct"/>
            <w:vAlign w:val="center"/>
          </w:tcPr>
          <w:p w14:paraId="1D767B6E" w14:textId="77777777" w:rsidR="009C2E13" w:rsidRPr="009C2E13" w:rsidRDefault="009C2E13" w:rsidP="009C2E13">
            <w:pPr>
              <w:pStyle w:val="Level2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eastAsia="en-GB"/>
              </w:rPr>
            </w:pPr>
            <w:r w:rsidRPr="009C2E13">
              <w:rPr>
                <w:rFonts w:asciiTheme="minorHAnsi" w:hAnsiTheme="minorHAnsi" w:cstheme="minorHAnsi"/>
                <w:b/>
                <w:lang w:eastAsia="en-GB"/>
              </w:rPr>
              <w:t>24</w:t>
            </w:r>
          </w:p>
        </w:tc>
      </w:tr>
      <w:tr w:rsidR="009C2E13" w:rsidRPr="009C2E13" w14:paraId="1C8545A8" w14:textId="77777777" w:rsidTr="009C2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pct"/>
            <w:shd w:val="clear" w:color="auto" w:fill="002060"/>
            <w:vAlign w:val="center"/>
          </w:tcPr>
          <w:p w14:paraId="2A6D3604" w14:textId="77777777" w:rsidR="009C2E13" w:rsidRPr="009C2E13" w:rsidRDefault="009C2E13" w:rsidP="009C2E13">
            <w:pPr>
              <w:pStyle w:val="Level2Number"/>
              <w:numPr>
                <w:ilvl w:val="0"/>
                <w:numId w:val="0"/>
              </w:numPr>
              <w:jc w:val="center"/>
              <w:rPr>
                <w:rFonts w:asciiTheme="minorHAnsi" w:hAnsiTheme="minorHAnsi" w:cstheme="minorHAnsi"/>
                <w:lang w:eastAsia="en-GB"/>
              </w:rPr>
            </w:pPr>
            <w:r w:rsidRPr="009C2E13">
              <w:rPr>
                <w:rFonts w:asciiTheme="minorHAnsi" w:hAnsiTheme="minorHAnsi" w:cstheme="minorHAnsi"/>
                <w:lang w:eastAsia="en-GB"/>
              </w:rPr>
              <w:t>Category D</w:t>
            </w:r>
          </w:p>
        </w:tc>
        <w:tc>
          <w:tcPr>
            <w:tcW w:w="3219" w:type="pct"/>
          </w:tcPr>
          <w:p w14:paraId="3ABDFA11" w14:textId="77777777" w:rsidR="009C2E13" w:rsidRPr="009C2E13" w:rsidRDefault="009C2E13" w:rsidP="009C2E13">
            <w:pPr>
              <w:pStyle w:val="NoSpacing"/>
              <w:cnfStyle w:val="000000100000" w:firstRow="0" w:lastRow="0" w:firstColumn="0" w:lastColumn="0" w:oddVBand="0" w:evenVBand="0" w:oddHBand="1" w:evenHBand="0" w:firstRowFirstColumn="0" w:firstRowLastColumn="0" w:lastRowFirstColumn="0" w:lastRowLastColumn="0"/>
              <w:rPr>
                <w:lang w:eastAsia="en-GB"/>
              </w:rPr>
            </w:pPr>
            <w:r w:rsidRPr="009C2E13">
              <w:rPr>
                <w:lang w:eastAsia="en-GB"/>
              </w:rPr>
              <w:t>Confirmed fatality – driver/rider only killed, due to natural causes, may involve a third party – no inquest necessary.</w:t>
            </w:r>
          </w:p>
        </w:tc>
        <w:tc>
          <w:tcPr>
            <w:tcW w:w="995" w:type="pct"/>
            <w:vAlign w:val="center"/>
          </w:tcPr>
          <w:p w14:paraId="252F2403" w14:textId="77777777" w:rsidR="009C2E13" w:rsidRPr="009C2E13" w:rsidRDefault="009C2E13" w:rsidP="009C2E13">
            <w:pPr>
              <w:pStyle w:val="Level2Number"/>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en-GB"/>
              </w:rPr>
            </w:pPr>
            <w:r w:rsidRPr="009C2E13">
              <w:rPr>
                <w:rFonts w:asciiTheme="minorHAnsi" w:hAnsiTheme="minorHAnsi" w:cstheme="minorHAnsi"/>
                <w:b/>
                <w:lang w:eastAsia="en-GB"/>
              </w:rPr>
              <w:t>5</w:t>
            </w:r>
          </w:p>
        </w:tc>
      </w:tr>
    </w:tbl>
    <w:p w14:paraId="6988A736" w14:textId="6E56F6CB" w:rsidR="00F05993" w:rsidRDefault="00F05993" w:rsidP="008B03F7">
      <w:pPr>
        <w:pStyle w:val="NoSpacing"/>
        <w:rPr>
          <w:lang w:eastAsia="en-GB"/>
        </w:rPr>
      </w:pPr>
    </w:p>
    <w:p w14:paraId="341B9D6F" w14:textId="04E85BD2" w:rsidR="00F05993" w:rsidRPr="001F47F9" w:rsidRDefault="00F05993" w:rsidP="00F05993">
      <w:pPr>
        <w:pStyle w:val="Level2Number"/>
        <w:numPr>
          <w:ilvl w:val="0"/>
          <w:numId w:val="0"/>
        </w:numPr>
        <w:tabs>
          <w:tab w:val="left" w:pos="720"/>
        </w:tabs>
        <w:ind w:left="720"/>
        <w:rPr>
          <w:lang w:eastAsia="en-GB"/>
        </w:rPr>
      </w:pPr>
      <w:r w:rsidRPr="001F47F9">
        <w:rPr>
          <w:lang w:eastAsia="en-GB"/>
        </w:rPr>
        <w:t>During 202</w:t>
      </w:r>
      <w:r w:rsidR="001F47F9">
        <w:rPr>
          <w:lang w:eastAsia="en-GB"/>
        </w:rPr>
        <w:t>3</w:t>
      </w:r>
      <w:r w:rsidRPr="001F47F9">
        <w:rPr>
          <w:lang w:eastAsia="en-GB"/>
        </w:rPr>
        <w:t>-202</w:t>
      </w:r>
      <w:r w:rsidR="001F47F9">
        <w:rPr>
          <w:lang w:eastAsia="en-GB"/>
        </w:rPr>
        <w:t>4</w:t>
      </w:r>
      <w:r w:rsidRPr="001F47F9">
        <w:rPr>
          <w:lang w:eastAsia="en-GB"/>
        </w:rPr>
        <w:t xml:space="preserve"> there were 53 fatal casualties and 382 seriously injured</w:t>
      </w:r>
      <w:r w:rsidR="008B03F7" w:rsidRPr="001F47F9">
        <w:rPr>
          <w:lang w:eastAsia="en-GB"/>
        </w:rPr>
        <w:t xml:space="preserve"> victims on our roads</w:t>
      </w:r>
      <w:r w:rsidRPr="001F47F9">
        <w:rPr>
          <w:lang w:eastAsia="en-GB"/>
        </w:rPr>
        <w:t xml:space="preserve">. This implies that at least 382 victims who were seriously injured did not receive a FLO or </w:t>
      </w:r>
      <w:r w:rsidR="008B03F7" w:rsidRPr="001F47F9">
        <w:rPr>
          <w:lang w:eastAsia="en-GB"/>
        </w:rPr>
        <w:t xml:space="preserve">local </w:t>
      </w:r>
      <w:r w:rsidRPr="001F47F9">
        <w:rPr>
          <w:lang w:eastAsia="en-GB"/>
        </w:rPr>
        <w:t>specialist su</w:t>
      </w:r>
      <w:r w:rsidR="00F9697D" w:rsidRPr="001F47F9">
        <w:rPr>
          <w:lang w:eastAsia="en-GB"/>
        </w:rPr>
        <w:t xml:space="preserve">pport within the Thames Valley. </w:t>
      </w:r>
    </w:p>
    <w:p w14:paraId="5E90CD8A" w14:textId="45EF09E1" w:rsidR="003961EB" w:rsidRPr="00166614" w:rsidRDefault="003961EB" w:rsidP="003961EB">
      <w:pPr>
        <w:pStyle w:val="Level1Number"/>
        <w:rPr>
          <w:b/>
          <w:sz w:val="28"/>
        </w:rPr>
      </w:pPr>
      <w:r w:rsidRPr="00166614">
        <w:rPr>
          <w:b/>
          <w:sz w:val="28"/>
        </w:rPr>
        <w:t xml:space="preserve">Scope </w:t>
      </w:r>
      <w:r w:rsidR="00F05993">
        <w:rPr>
          <w:b/>
          <w:sz w:val="28"/>
        </w:rPr>
        <w:t>of service</w:t>
      </w:r>
    </w:p>
    <w:p w14:paraId="742A0670" w14:textId="77777777" w:rsidR="003961EB" w:rsidRDefault="003961EB" w:rsidP="003961EB">
      <w:pPr>
        <w:pStyle w:val="Level2Number"/>
        <w:rPr>
          <w:b/>
        </w:rPr>
      </w:pPr>
      <w:r>
        <w:rPr>
          <w:b/>
        </w:rPr>
        <w:t>Service O</w:t>
      </w:r>
      <w:r w:rsidRPr="00191BE2">
        <w:rPr>
          <w:b/>
        </w:rPr>
        <w:t>bjectives</w:t>
      </w:r>
    </w:p>
    <w:p w14:paraId="6A54F791" w14:textId="2EF53AF9" w:rsidR="008D3D64" w:rsidRDefault="008D3D64" w:rsidP="008D3D64">
      <w:pPr>
        <w:pStyle w:val="Level3Number"/>
      </w:pPr>
      <w:r w:rsidRPr="00191BE2">
        <w:t xml:space="preserve">The overall objective of the service is to enable those </w:t>
      </w:r>
      <w:r>
        <w:t>seriously injured due to a</w:t>
      </w:r>
      <w:r w:rsidRPr="00191BE2">
        <w:t xml:space="preserve"> road traffic collision (RTC), to manage the immediate traumatic impact and help them to cope and build resilience to move forward with everyday life.</w:t>
      </w:r>
      <w:r w:rsidR="004263B0">
        <w:t xml:space="preserve"> </w:t>
      </w:r>
      <w:r w:rsidR="004263B0" w:rsidRPr="00191BE2">
        <w:t>This may involve support to manage expectations</w:t>
      </w:r>
      <w:r w:rsidR="004263B0">
        <w:t xml:space="preserve"> and navigation</w:t>
      </w:r>
      <w:r w:rsidR="004263B0" w:rsidRPr="00191BE2">
        <w:t xml:space="preserve"> in relation to civil or </w:t>
      </w:r>
      <w:r w:rsidR="004263B0">
        <w:t xml:space="preserve">investigation </w:t>
      </w:r>
      <w:r w:rsidR="004263B0" w:rsidRPr="00191BE2">
        <w:t>proceedings.</w:t>
      </w:r>
      <w:r w:rsidR="004263B0">
        <w:t xml:space="preserve"> </w:t>
      </w:r>
      <w:r w:rsidRPr="00191BE2">
        <w:t>The aim is for RTC victims to be able to support themselves independently or through an appropriate peer support network by the end of the provision.</w:t>
      </w:r>
      <w:r w:rsidR="004263B0">
        <w:t xml:space="preserve"> </w:t>
      </w:r>
      <w:r w:rsidR="004263B0" w:rsidRPr="00191BE2">
        <w:t>The optio</w:t>
      </w:r>
      <w:r w:rsidR="004263B0">
        <w:t xml:space="preserve">n to seek support should remain </w:t>
      </w:r>
      <w:r w:rsidR="004263B0" w:rsidRPr="00191BE2">
        <w:t>op</w:t>
      </w:r>
      <w:r w:rsidR="004263B0">
        <w:t>en even at the end of provision.</w:t>
      </w:r>
    </w:p>
    <w:p w14:paraId="16625779" w14:textId="77777777" w:rsidR="003961EB" w:rsidRPr="00F40092" w:rsidRDefault="003961EB" w:rsidP="003961EB">
      <w:pPr>
        <w:pStyle w:val="Level3Number"/>
        <w:rPr>
          <w:b/>
        </w:rPr>
      </w:pPr>
      <w:r w:rsidRPr="00F40092">
        <w:t>The service must:</w:t>
      </w:r>
    </w:p>
    <w:p w14:paraId="55C28723" w14:textId="77777777" w:rsidR="003961EB" w:rsidRPr="002A5273" w:rsidRDefault="003961EB" w:rsidP="003961EB">
      <w:pPr>
        <w:pStyle w:val="NoSpacing"/>
        <w:numPr>
          <w:ilvl w:val="0"/>
          <w:numId w:val="6"/>
        </w:numPr>
        <w:rPr>
          <w:rFonts w:ascii="Arial" w:hAnsi="Arial" w:cs="Arial"/>
          <w:sz w:val="20"/>
        </w:rPr>
      </w:pPr>
      <w:r w:rsidRPr="002A5273">
        <w:rPr>
          <w:rFonts w:ascii="Arial" w:hAnsi="Arial" w:cs="Arial"/>
          <w:sz w:val="20"/>
        </w:rPr>
        <w:t>Be person centred and trauma informed</w:t>
      </w:r>
    </w:p>
    <w:p w14:paraId="22C71CD0" w14:textId="77777777" w:rsidR="003961EB" w:rsidRPr="002A5273" w:rsidRDefault="003961EB" w:rsidP="003961EB">
      <w:pPr>
        <w:pStyle w:val="NoSpacing"/>
        <w:numPr>
          <w:ilvl w:val="0"/>
          <w:numId w:val="6"/>
        </w:numPr>
        <w:rPr>
          <w:rFonts w:ascii="Arial" w:hAnsi="Arial" w:cs="Arial"/>
          <w:sz w:val="20"/>
        </w:rPr>
      </w:pPr>
      <w:r w:rsidRPr="002A5273">
        <w:rPr>
          <w:rFonts w:ascii="Arial" w:hAnsi="Arial" w:cs="Arial"/>
          <w:sz w:val="20"/>
        </w:rPr>
        <w:t>Be free of charge for the service user.</w:t>
      </w:r>
    </w:p>
    <w:p w14:paraId="4BA91BE6" w14:textId="77777777" w:rsidR="003961EB" w:rsidRPr="002A5273" w:rsidRDefault="003961EB" w:rsidP="003961EB">
      <w:pPr>
        <w:pStyle w:val="NoSpacing"/>
        <w:numPr>
          <w:ilvl w:val="0"/>
          <w:numId w:val="6"/>
        </w:numPr>
        <w:rPr>
          <w:rFonts w:ascii="Arial" w:hAnsi="Arial" w:cs="Arial"/>
          <w:sz w:val="20"/>
        </w:rPr>
      </w:pPr>
      <w:r w:rsidRPr="002A5273">
        <w:rPr>
          <w:rFonts w:ascii="Arial" w:hAnsi="Arial" w:cs="Arial"/>
          <w:sz w:val="20"/>
        </w:rPr>
        <w:t>Be consent based.</w:t>
      </w:r>
    </w:p>
    <w:p w14:paraId="31A01335" w14:textId="77777777" w:rsidR="003961EB" w:rsidRPr="002A5273" w:rsidRDefault="003961EB" w:rsidP="003961EB">
      <w:pPr>
        <w:pStyle w:val="NoSpacing"/>
        <w:numPr>
          <w:ilvl w:val="0"/>
          <w:numId w:val="6"/>
        </w:numPr>
        <w:rPr>
          <w:rFonts w:ascii="Arial" w:hAnsi="Arial" w:cs="Arial"/>
          <w:sz w:val="20"/>
        </w:rPr>
      </w:pPr>
      <w:r w:rsidRPr="002A5273">
        <w:rPr>
          <w:rFonts w:ascii="Arial" w:hAnsi="Arial" w:cs="Arial"/>
          <w:sz w:val="20"/>
        </w:rPr>
        <w:t>Respect confidentiality.</w:t>
      </w:r>
    </w:p>
    <w:p w14:paraId="650DAB1F" w14:textId="77777777" w:rsidR="003961EB" w:rsidRPr="002A5273" w:rsidRDefault="003961EB" w:rsidP="003961EB">
      <w:pPr>
        <w:pStyle w:val="NoSpacing"/>
        <w:numPr>
          <w:ilvl w:val="0"/>
          <w:numId w:val="6"/>
        </w:numPr>
        <w:rPr>
          <w:rFonts w:ascii="Arial" w:hAnsi="Arial" w:cs="Arial"/>
          <w:sz w:val="20"/>
        </w:rPr>
      </w:pPr>
      <w:r w:rsidRPr="002A5273">
        <w:rPr>
          <w:rFonts w:ascii="Arial" w:hAnsi="Arial" w:cs="Arial"/>
          <w:sz w:val="20"/>
        </w:rPr>
        <w:t>Be independent.</w:t>
      </w:r>
    </w:p>
    <w:p w14:paraId="586AC06B" w14:textId="77777777" w:rsidR="003961EB" w:rsidRPr="002A5273" w:rsidRDefault="003961EB" w:rsidP="003961EB">
      <w:pPr>
        <w:pStyle w:val="NoSpacing"/>
        <w:numPr>
          <w:ilvl w:val="0"/>
          <w:numId w:val="6"/>
        </w:numPr>
        <w:rPr>
          <w:rFonts w:ascii="Arial" w:hAnsi="Arial" w:cs="Arial"/>
          <w:sz w:val="20"/>
        </w:rPr>
      </w:pPr>
      <w:r w:rsidRPr="002A5273">
        <w:rPr>
          <w:rFonts w:ascii="Arial" w:hAnsi="Arial" w:cs="Arial"/>
          <w:sz w:val="20"/>
        </w:rPr>
        <w:t>Provide services that do not discriminate against any protected characteristics.</w:t>
      </w:r>
    </w:p>
    <w:p w14:paraId="1264A1E4" w14:textId="77777777" w:rsidR="003961EB" w:rsidRPr="002A5273" w:rsidRDefault="003961EB" w:rsidP="003961EB">
      <w:pPr>
        <w:pStyle w:val="NoSpacing"/>
        <w:numPr>
          <w:ilvl w:val="0"/>
          <w:numId w:val="6"/>
        </w:numPr>
        <w:rPr>
          <w:rFonts w:ascii="Arial" w:hAnsi="Arial" w:cs="Arial"/>
          <w:sz w:val="20"/>
        </w:rPr>
      </w:pPr>
      <w:r w:rsidRPr="002A5273">
        <w:rPr>
          <w:rFonts w:ascii="Arial" w:hAnsi="Arial" w:cs="Arial"/>
          <w:sz w:val="20"/>
        </w:rPr>
        <w:t>Be transparent, accountable and seek to continually improve the service through contract monitoring and service user feedback.</w:t>
      </w:r>
    </w:p>
    <w:p w14:paraId="39A35336" w14:textId="16B752D4" w:rsidR="003961EB" w:rsidRPr="002A5273" w:rsidRDefault="003961EB" w:rsidP="003961EB">
      <w:pPr>
        <w:pStyle w:val="NoSpacing"/>
        <w:numPr>
          <w:ilvl w:val="0"/>
          <w:numId w:val="6"/>
        </w:numPr>
        <w:rPr>
          <w:rFonts w:ascii="Arial" w:hAnsi="Arial" w:cs="Arial"/>
          <w:sz w:val="20"/>
        </w:rPr>
      </w:pPr>
      <w:r w:rsidRPr="002A5273">
        <w:rPr>
          <w:rFonts w:ascii="Arial" w:hAnsi="Arial" w:cs="Arial"/>
          <w:sz w:val="20"/>
        </w:rPr>
        <w:t>Provide their own accommodation</w:t>
      </w:r>
      <w:r w:rsidR="00525C21">
        <w:rPr>
          <w:rFonts w:ascii="Arial" w:hAnsi="Arial" w:cs="Arial"/>
          <w:sz w:val="20"/>
        </w:rPr>
        <w:t>, where appropriate,</w:t>
      </w:r>
      <w:r w:rsidRPr="002A5273">
        <w:rPr>
          <w:rFonts w:ascii="Arial" w:hAnsi="Arial" w:cs="Arial"/>
          <w:sz w:val="20"/>
        </w:rPr>
        <w:t xml:space="preserve"> and enable access to the service regardless of where the client is across the Thames Valley</w:t>
      </w:r>
    </w:p>
    <w:p w14:paraId="49BC1EFA" w14:textId="77777777" w:rsidR="003961EB" w:rsidRPr="002A5273" w:rsidRDefault="003961EB" w:rsidP="003961EB">
      <w:pPr>
        <w:pStyle w:val="NoSpacing"/>
        <w:numPr>
          <w:ilvl w:val="0"/>
          <w:numId w:val="6"/>
        </w:numPr>
        <w:rPr>
          <w:rFonts w:ascii="Arial" w:hAnsi="Arial" w:cs="Arial"/>
          <w:sz w:val="20"/>
        </w:rPr>
      </w:pPr>
      <w:r w:rsidRPr="002A5273">
        <w:rPr>
          <w:rFonts w:ascii="Arial" w:hAnsi="Arial" w:cs="Arial"/>
          <w:sz w:val="20"/>
        </w:rPr>
        <w:t xml:space="preserve">Operate during core hours of at least 0900-1700 Monday to Friday (excluding Bank Holidays). </w:t>
      </w:r>
    </w:p>
    <w:p w14:paraId="50FD26EC" w14:textId="3517FCEC" w:rsidR="003961EB" w:rsidRPr="002A5273" w:rsidRDefault="009D3A13" w:rsidP="003961EB">
      <w:pPr>
        <w:pStyle w:val="NoSpacing"/>
        <w:numPr>
          <w:ilvl w:val="0"/>
          <w:numId w:val="6"/>
        </w:numPr>
        <w:rPr>
          <w:rFonts w:ascii="Arial" w:hAnsi="Arial" w:cs="Arial"/>
          <w:sz w:val="20"/>
        </w:rPr>
      </w:pPr>
      <w:r>
        <w:rPr>
          <w:rFonts w:ascii="Arial" w:hAnsi="Arial" w:cs="Arial"/>
          <w:sz w:val="20"/>
        </w:rPr>
        <w:t>S</w:t>
      </w:r>
      <w:r w:rsidR="003961EB" w:rsidRPr="002A5273">
        <w:rPr>
          <w:rFonts w:ascii="Arial" w:hAnsi="Arial" w:cs="Arial"/>
          <w:sz w:val="20"/>
        </w:rPr>
        <w:t>ervices must be pr</w:t>
      </w:r>
      <w:r w:rsidR="004263B0">
        <w:rPr>
          <w:rFonts w:ascii="Arial" w:hAnsi="Arial" w:cs="Arial"/>
          <w:sz w:val="20"/>
        </w:rPr>
        <w:t xml:space="preserve">ovided in line with individual </w:t>
      </w:r>
      <w:r w:rsidR="003961EB" w:rsidRPr="002A5273">
        <w:rPr>
          <w:rFonts w:ascii="Arial" w:hAnsi="Arial" w:cs="Arial"/>
          <w:sz w:val="20"/>
        </w:rPr>
        <w:t xml:space="preserve">needs i.e. to fit around work, education, caring or childcare commitments. We expect providers to ensure </w:t>
      </w:r>
      <w:r>
        <w:rPr>
          <w:rFonts w:ascii="Arial" w:hAnsi="Arial" w:cs="Arial"/>
          <w:sz w:val="20"/>
        </w:rPr>
        <w:t xml:space="preserve">service </w:t>
      </w:r>
      <w:r w:rsidR="004263B0">
        <w:rPr>
          <w:rFonts w:ascii="Arial" w:hAnsi="Arial" w:cs="Arial"/>
          <w:sz w:val="20"/>
        </w:rPr>
        <w:t>users’</w:t>
      </w:r>
      <w:r w:rsidR="003961EB" w:rsidRPr="002A5273">
        <w:rPr>
          <w:rFonts w:ascii="Arial" w:hAnsi="Arial" w:cs="Arial"/>
          <w:sz w:val="20"/>
        </w:rPr>
        <w:t xml:space="preserve"> needs can be met, in relation to standard office hours and where necessary out of regular hour’s service availability.</w:t>
      </w:r>
    </w:p>
    <w:p w14:paraId="1ACB1E3A" w14:textId="77777777" w:rsidR="003961EB" w:rsidRPr="002A5273" w:rsidRDefault="003961EB" w:rsidP="003961EB">
      <w:pPr>
        <w:pStyle w:val="NoSpacing"/>
        <w:numPr>
          <w:ilvl w:val="0"/>
          <w:numId w:val="6"/>
        </w:numPr>
        <w:rPr>
          <w:rFonts w:ascii="Arial" w:hAnsi="Arial" w:cs="Arial"/>
          <w:sz w:val="20"/>
        </w:rPr>
      </w:pPr>
      <w:r w:rsidRPr="002A5273">
        <w:rPr>
          <w:rFonts w:ascii="Arial" w:hAnsi="Arial" w:cs="Arial"/>
          <w:sz w:val="20"/>
        </w:rPr>
        <w:t xml:space="preserve">Keep safeguarding and safety at the </w:t>
      </w:r>
      <w:r w:rsidR="0015480B">
        <w:rPr>
          <w:rFonts w:ascii="Arial" w:hAnsi="Arial" w:cs="Arial"/>
          <w:sz w:val="20"/>
        </w:rPr>
        <w:t>forefront of the service offer</w:t>
      </w:r>
      <w:r w:rsidRPr="002A5273">
        <w:rPr>
          <w:rFonts w:ascii="Arial" w:hAnsi="Arial" w:cs="Arial"/>
          <w:sz w:val="20"/>
        </w:rPr>
        <w:t>.</w:t>
      </w:r>
    </w:p>
    <w:p w14:paraId="7D535F86" w14:textId="00E4693A" w:rsidR="003961EB" w:rsidRDefault="003961EB" w:rsidP="003961EB">
      <w:pPr>
        <w:pStyle w:val="NoSpacing"/>
        <w:numPr>
          <w:ilvl w:val="0"/>
          <w:numId w:val="6"/>
        </w:numPr>
        <w:rPr>
          <w:rFonts w:ascii="Arial" w:hAnsi="Arial" w:cs="Arial"/>
          <w:sz w:val="20"/>
        </w:rPr>
      </w:pPr>
      <w:r w:rsidRPr="002A5273">
        <w:rPr>
          <w:rFonts w:ascii="Arial" w:hAnsi="Arial" w:cs="Arial"/>
          <w:sz w:val="20"/>
        </w:rPr>
        <w:t>N</w:t>
      </w:r>
      <w:r>
        <w:rPr>
          <w:rFonts w:ascii="Arial" w:hAnsi="Arial" w:cs="Arial"/>
          <w:sz w:val="20"/>
        </w:rPr>
        <w:t>avigate complex</w:t>
      </w:r>
      <w:r w:rsidRPr="002A5273">
        <w:rPr>
          <w:rFonts w:ascii="Arial" w:hAnsi="Arial" w:cs="Arial"/>
          <w:sz w:val="20"/>
        </w:rPr>
        <w:t xml:space="preserve"> system</w:t>
      </w:r>
      <w:r>
        <w:rPr>
          <w:rFonts w:ascii="Arial" w:hAnsi="Arial" w:cs="Arial"/>
          <w:sz w:val="20"/>
        </w:rPr>
        <w:t>s</w:t>
      </w:r>
      <w:r w:rsidRPr="002A5273">
        <w:rPr>
          <w:rFonts w:ascii="Arial" w:hAnsi="Arial" w:cs="Arial"/>
          <w:sz w:val="20"/>
        </w:rPr>
        <w:t xml:space="preserve"> ensuring compensation, insurance</w:t>
      </w:r>
      <w:r w:rsidR="00525C21">
        <w:rPr>
          <w:rFonts w:ascii="Arial" w:hAnsi="Arial" w:cs="Arial"/>
          <w:sz w:val="20"/>
        </w:rPr>
        <w:t>, support</w:t>
      </w:r>
      <w:r w:rsidRPr="002A5273">
        <w:rPr>
          <w:rFonts w:ascii="Arial" w:hAnsi="Arial" w:cs="Arial"/>
          <w:sz w:val="20"/>
        </w:rPr>
        <w:t xml:space="preserve"> and legal pathways are made clear to </w:t>
      </w:r>
      <w:r w:rsidR="009D3A13">
        <w:rPr>
          <w:rFonts w:ascii="Arial" w:hAnsi="Arial" w:cs="Arial"/>
          <w:sz w:val="20"/>
        </w:rPr>
        <w:t>service users</w:t>
      </w:r>
    </w:p>
    <w:p w14:paraId="02848A53" w14:textId="77777777" w:rsidR="003961EB" w:rsidRDefault="003961EB" w:rsidP="003961EB">
      <w:pPr>
        <w:pStyle w:val="NoSpacing"/>
        <w:rPr>
          <w:rFonts w:ascii="Arial" w:hAnsi="Arial" w:cs="Arial"/>
          <w:sz w:val="20"/>
        </w:rPr>
      </w:pPr>
    </w:p>
    <w:p w14:paraId="31BB4255" w14:textId="77777777" w:rsidR="003961EB" w:rsidRDefault="003961EB" w:rsidP="003961EB">
      <w:pPr>
        <w:pStyle w:val="Level2Number"/>
        <w:rPr>
          <w:b/>
        </w:rPr>
      </w:pPr>
      <w:r w:rsidRPr="00A4283B">
        <w:rPr>
          <w:b/>
        </w:rPr>
        <w:t xml:space="preserve">Eligibility </w:t>
      </w:r>
    </w:p>
    <w:p w14:paraId="77EC88DA" w14:textId="6F1AE7BA" w:rsidR="003961EB" w:rsidRDefault="009D3A13" w:rsidP="003961EB">
      <w:pPr>
        <w:pStyle w:val="Level3Number"/>
      </w:pPr>
      <w:r>
        <w:t xml:space="preserve">Service </w:t>
      </w:r>
      <w:r w:rsidR="004263B0">
        <w:t>u</w:t>
      </w:r>
      <w:r>
        <w:t xml:space="preserve">sers </w:t>
      </w:r>
      <w:r w:rsidR="003961EB">
        <w:t>will be eligible for the provision of a service if they</w:t>
      </w:r>
      <w:r w:rsidR="001F47F9">
        <w:t xml:space="preserve"> are re</w:t>
      </w:r>
      <w:r w:rsidR="00525C21">
        <w:t>s</w:t>
      </w:r>
      <w:r w:rsidR="001F47F9">
        <w:t>i</w:t>
      </w:r>
      <w:r w:rsidR="00525C21">
        <w:t>dents of Thames Valley and</w:t>
      </w:r>
      <w:r w:rsidR="003961EB">
        <w:t xml:space="preserve"> have been seriously injured </w:t>
      </w:r>
      <w:r>
        <w:t>due to</w:t>
      </w:r>
      <w:r w:rsidR="003961EB">
        <w:t xml:space="preserve"> a Road Traffic Collision and </w:t>
      </w:r>
      <w:r>
        <w:t>require support as a result.</w:t>
      </w:r>
      <w:r w:rsidR="003961EB">
        <w:t xml:space="preserve"> </w:t>
      </w:r>
    </w:p>
    <w:p w14:paraId="7262DD50" w14:textId="7BB3C081" w:rsidR="007A38F0" w:rsidRDefault="00525C21" w:rsidP="001A39F5">
      <w:pPr>
        <w:pStyle w:val="Level3Number"/>
      </w:pPr>
      <w:r>
        <w:t>Although adults seriously injured remain the priority for the service, t</w:t>
      </w:r>
      <w:r w:rsidR="003961EB">
        <w:t>he PCC wishes to understand how the service might also be able to offer support</w:t>
      </w:r>
      <w:r w:rsidR="007A38F0">
        <w:t>, where</w:t>
      </w:r>
      <w:r>
        <w:t xml:space="preserve"> possible and if</w:t>
      </w:r>
      <w:r w:rsidR="007A38F0">
        <w:t xml:space="preserve"> capacity allows,</w:t>
      </w:r>
      <w:r w:rsidR="003961EB">
        <w:t xml:space="preserve"> to</w:t>
      </w:r>
      <w:r w:rsidR="007A38F0">
        <w:t>:-</w:t>
      </w:r>
    </w:p>
    <w:p w14:paraId="7C4765E0" w14:textId="411B54BD" w:rsidR="007A38F0" w:rsidRPr="001F47F9" w:rsidRDefault="007A38F0" w:rsidP="007A38F0">
      <w:pPr>
        <w:pStyle w:val="NoSpacing"/>
        <w:numPr>
          <w:ilvl w:val="0"/>
          <w:numId w:val="10"/>
        </w:numPr>
        <w:rPr>
          <w:rFonts w:ascii="Arial" w:hAnsi="Arial" w:cs="Arial"/>
          <w:sz w:val="20"/>
        </w:rPr>
      </w:pPr>
      <w:r w:rsidRPr="001F47F9">
        <w:rPr>
          <w:rFonts w:ascii="Arial" w:hAnsi="Arial" w:cs="Arial"/>
          <w:sz w:val="20"/>
        </w:rPr>
        <w:lastRenderedPageBreak/>
        <w:t>Bereaved</w:t>
      </w:r>
      <w:r w:rsidR="009D3A13" w:rsidRPr="001F47F9">
        <w:rPr>
          <w:rFonts w:ascii="Arial" w:hAnsi="Arial" w:cs="Arial"/>
          <w:sz w:val="20"/>
        </w:rPr>
        <w:t xml:space="preserve"> </w:t>
      </w:r>
      <w:r w:rsidRPr="001F47F9">
        <w:rPr>
          <w:rFonts w:ascii="Arial" w:hAnsi="Arial" w:cs="Arial"/>
          <w:sz w:val="20"/>
        </w:rPr>
        <w:t>family/relatives of</w:t>
      </w:r>
      <w:r w:rsidR="009D3A13" w:rsidRPr="001F47F9">
        <w:rPr>
          <w:rFonts w:ascii="Arial" w:hAnsi="Arial" w:cs="Arial"/>
          <w:sz w:val="20"/>
        </w:rPr>
        <w:t xml:space="preserve"> RTC</w:t>
      </w:r>
      <w:r w:rsidR="004263B0" w:rsidRPr="001F47F9">
        <w:rPr>
          <w:rFonts w:ascii="Arial" w:hAnsi="Arial" w:cs="Arial"/>
          <w:sz w:val="20"/>
        </w:rPr>
        <w:t xml:space="preserve"> </w:t>
      </w:r>
      <w:r w:rsidRPr="001F47F9">
        <w:rPr>
          <w:rFonts w:ascii="Arial" w:hAnsi="Arial" w:cs="Arial"/>
          <w:sz w:val="20"/>
        </w:rPr>
        <w:t>fatalities, who are not currently supported by a FLO or other specialist support service.</w:t>
      </w:r>
    </w:p>
    <w:p w14:paraId="4C5E418A" w14:textId="51D8DC55" w:rsidR="007A38F0" w:rsidRPr="001F47F9" w:rsidRDefault="007A38F0" w:rsidP="007A38F0">
      <w:pPr>
        <w:pStyle w:val="NoSpacing"/>
        <w:numPr>
          <w:ilvl w:val="0"/>
          <w:numId w:val="10"/>
        </w:numPr>
        <w:rPr>
          <w:rFonts w:ascii="Arial" w:hAnsi="Arial" w:cs="Arial"/>
          <w:sz w:val="20"/>
        </w:rPr>
      </w:pPr>
      <w:r w:rsidRPr="001F47F9">
        <w:rPr>
          <w:rFonts w:ascii="Arial" w:hAnsi="Arial" w:cs="Arial"/>
          <w:sz w:val="20"/>
        </w:rPr>
        <w:t>Children and young people aged 17 and under, involved in the aftermath of serious and traumatic road collisions.</w:t>
      </w:r>
    </w:p>
    <w:p w14:paraId="41A7E16C" w14:textId="77777777" w:rsidR="001F47F9" w:rsidRPr="001F47F9" w:rsidRDefault="007A38F0" w:rsidP="001F47F9">
      <w:pPr>
        <w:pStyle w:val="NoSpacing"/>
        <w:numPr>
          <w:ilvl w:val="0"/>
          <w:numId w:val="10"/>
        </w:numPr>
        <w:rPr>
          <w:rFonts w:ascii="Arial" w:hAnsi="Arial" w:cs="Arial"/>
          <w:sz w:val="20"/>
        </w:rPr>
      </w:pPr>
      <w:r w:rsidRPr="001F47F9">
        <w:rPr>
          <w:rFonts w:ascii="Arial" w:hAnsi="Arial" w:cs="Arial"/>
          <w:sz w:val="20"/>
        </w:rPr>
        <w:t xml:space="preserve">Those who may have witnessed/been involved in the aftermath of traumatic road collisions. </w:t>
      </w:r>
    </w:p>
    <w:p w14:paraId="063EFB74" w14:textId="455DA547" w:rsidR="007A38F0" w:rsidRDefault="007A38F0" w:rsidP="007A38F0">
      <w:pPr>
        <w:pStyle w:val="NoSpacing"/>
      </w:pPr>
    </w:p>
    <w:p w14:paraId="73ABA431" w14:textId="6BE194FE" w:rsidR="003961EB" w:rsidRPr="00FF7ADF" w:rsidRDefault="003961EB" w:rsidP="003961EB">
      <w:pPr>
        <w:pStyle w:val="Level3Number"/>
      </w:pPr>
      <w:r w:rsidRPr="00FF7ADF">
        <w:t xml:space="preserve">Whilst the RTCs </w:t>
      </w:r>
      <w:r w:rsidR="009D3A13">
        <w:t>will be</w:t>
      </w:r>
      <w:r w:rsidRPr="00FF7ADF">
        <w:t xml:space="preserve"> identified as ‘non-criminal’ initially, should a crime be identified during the course of support, </w:t>
      </w:r>
      <w:r w:rsidR="004263B0">
        <w:t>service users</w:t>
      </w:r>
      <w:r w:rsidRPr="00FF7ADF">
        <w:t xml:space="preserve"> will have the choice to be referred to the general crime support service (Victims First) with consent or remain with the </w:t>
      </w:r>
      <w:r>
        <w:t xml:space="preserve">specialist </w:t>
      </w:r>
      <w:r w:rsidRPr="00FF7ADF">
        <w:t>Road Victim Service.</w:t>
      </w:r>
      <w:r w:rsidR="00525C21">
        <w:t xml:space="preserve"> Where the service user chooses to access Victims First the service should ensure a referral is made and coordinate hand over of support. </w:t>
      </w:r>
    </w:p>
    <w:p w14:paraId="1AC6EA0F" w14:textId="262AD0B6" w:rsidR="003961EB" w:rsidRPr="00A20D12" w:rsidRDefault="003961EB" w:rsidP="003961EB">
      <w:pPr>
        <w:pStyle w:val="Level3Number"/>
      </w:pPr>
      <w:r w:rsidRPr="00A20D12">
        <w:t xml:space="preserve">In a case where a </w:t>
      </w:r>
      <w:r w:rsidR="004263B0">
        <w:t>service user</w:t>
      </w:r>
      <w:r w:rsidRPr="00A20D12">
        <w:t xml:space="preserve"> remains with the </w:t>
      </w:r>
      <w:r w:rsidR="004263B0">
        <w:t>specialist Road Victim S</w:t>
      </w:r>
      <w:r w:rsidRPr="00A20D12">
        <w:t xml:space="preserve">ervice after a crime has been recorded. The service should ensure they adhere to the Victims Code of Practice. </w:t>
      </w:r>
    </w:p>
    <w:p w14:paraId="5C0DF779" w14:textId="77777777" w:rsidR="003961EB" w:rsidRDefault="003961EB" w:rsidP="003961EB">
      <w:pPr>
        <w:pStyle w:val="Level2Number"/>
        <w:rPr>
          <w:b/>
        </w:rPr>
      </w:pPr>
      <w:r w:rsidRPr="00D54832">
        <w:rPr>
          <w:b/>
        </w:rPr>
        <w:t>Amendments to Eligibility</w:t>
      </w:r>
    </w:p>
    <w:p w14:paraId="1EDBB560" w14:textId="446D8562" w:rsidR="003961EB" w:rsidRPr="00D54832" w:rsidRDefault="003961EB" w:rsidP="003961EB">
      <w:pPr>
        <w:pStyle w:val="Level3Number"/>
        <w:rPr>
          <w:b/>
        </w:rPr>
      </w:pPr>
      <w:r w:rsidRPr="00D54832">
        <w:t>The eligibility criteria may be amended at any time to meet the local needs and demand; for example, to include</w:t>
      </w:r>
      <w:r w:rsidR="009D3A13">
        <w:t xml:space="preserve"> bereaved relatives or</w:t>
      </w:r>
      <w:r w:rsidRPr="00D54832">
        <w:t xml:space="preserve"> moderate injury by discussion and agreement. </w:t>
      </w:r>
    </w:p>
    <w:p w14:paraId="6DC9E43C" w14:textId="77777777" w:rsidR="003961EB" w:rsidRDefault="003961EB" w:rsidP="003961EB">
      <w:pPr>
        <w:pStyle w:val="Level2Number"/>
        <w:rPr>
          <w:b/>
        </w:rPr>
      </w:pPr>
      <w:r>
        <w:rPr>
          <w:b/>
        </w:rPr>
        <w:t>Geographical Scope</w:t>
      </w:r>
    </w:p>
    <w:p w14:paraId="7545D31F" w14:textId="77777777" w:rsidR="003961EB" w:rsidRDefault="003961EB" w:rsidP="003961EB">
      <w:pPr>
        <w:pStyle w:val="Level3Number"/>
      </w:pPr>
      <w:r>
        <w:t xml:space="preserve">The service will be provided across the whole of the Thames Valley force area (Berkshire, Buckinghamshire, Milton Keynes, and Oxfordshire).  </w:t>
      </w:r>
    </w:p>
    <w:p w14:paraId="19D6630D" w14:textId="77777777" w:rsidR="003961EB" w:rsidRDefault="003961EB" w:rsidP="003961EB">
      <w:pPr>
        <w:pStyle w:val="Level3Number"/>
      </w:pPr>
      <w:r>
        <w:t>The Service Provider will not accept referrals outside of the geographical scope, as part of the funding attached to this grant.</w:t>
      </w:r>
    </w:p>
    <w:p w14:paraId="50A2BC4B" w14:textId="77777777" w:rsidR="003961EB" w:rsidRDefault="003961EB" w:rsidP="003961EB">
      <w:pPr>
        <w:pStyle w:val="Level2Number"/>
        <w:rPr>
          <w:b/>
        </w:rPr>
      </w:pPr>
      <w:r>
        <w:rPr>
          <w:b/>
        </w:rPr>
        <w:t xml:space="preserve">Service </w:t>
      </w:r>
      <w:r w:rsidRPr="00374828">
        <w:rPr>
          <w:b/>
        </w:rPr>
        <w:t>Availability</w:t>
      </w:r>
    </w:p>
    <w:p w14:paraId="0E1E6988" w14:textId="77777777" w:rsidR="003961EB" w:rsidRDefault="003961EB" w:rsidP="003961EB">
      <w:pPr>
        <w:pStyle w:val="Level3Number"/>
      </w:pPr>
      <w:r w:rsidRPr="00374828">
        <w:t>It is expected that the majority of the referrals and Services will be provided during core operating times 09:</w:t>
      </w:r>
      <w:r>
        <w:t>00</w:t>
      </w:r>
      <w:r w:rsidRPr="00374828">
        <w:t xml:space="preserve"> -1</w:t>
      </w:r>
      <w:r>
        <w:t>7:00,</w:t>
      </w:r>
      <w:r w:rsidRPr="00374828">
        <w:t xml:space="preserve"> Monday to Friday. </w:t>
      </w:r>
    </w:p>
    <w:p w14:paraId="3FC3498B" w14:textId="484EA3CE" w:rsidR="003961EB" w:rsidRPr="00D54832" w:rsidRDefault="003961EB" w:rsidP="003961EB">
      <w:pPr>
        <w:pStyle w:val="Level3Number"/>
      </w:pPr>
      <w:r w:rsidRPr="00374828">
        <w:t xml:space="preserve">However, it is important that the service provider must be flexible and meet </w:t>
      </w:r>
      <w:r>
        <w:t>service users at</w:t>
      </w:r>
      <w:r w:rsidRPr="00374828">
        <w:t xml:space="preserve"> time</w:t>
      </w:r>
      <w:r>
        <w:t>s that</w:t>
      </w:r>
      <w:r w:rsidR="00B72D41">
        <w:t xml:space="preserve">, within </w:t>
      </w:r>
      <w:r w:rsidR="001F47F9">
        <w:t>reason, are</w:t>
      </w:r>
      <w:r>
        <w:t xml:space="preserve"> convenient to them. </w:t>
      </w:r>
      <w:r w:rsidRPr="00374828">
        <w:t xml:space="preserve">We expect providers to ensure </w:t>
      </w:r>
      <w:r w:rsidR="004263B0">
        <w:t xml:space="preserve">service user </w:t>
      </w:r>
      <w:r w:rsidRPr="00374828">
        <w:t>needs can be met, in relation to standard office hours and where necessary out of regular hour’s service availability.</w:t>
      </w:r>
    </w:p>
    <w:p w14:paraId="41E929BF" w14:textId="77777777" w:rsidR="003961EB" w:rsidRPr="002A5273" w:rsidRDefault="003961EB" w:rsidP="003961EB">
      <w:pPr>
        <w:pStyle w:val="Level2Number"/>
        <w:rPr>
          <w:b/>
        </w:rPr>
      </w:pPr>
      <w:r w:rsidRPr="00374828">
        <w:rPr>
          <w:b/>
        </w:rPr>
        <w:t>Referrals</w:t>
      </w:r>
    </w:p>
    <w:p w14:paraId="28F34C78" w14:textId="275068E7" w:rsidR="003961EB" w:rsidRDefault="003961EB" w:rsidP="003961EB">
      <w:pPr>
        <w:pStyle w:val="Level3Number"/>
      </w:pPr>
      <w:r w:rsidRPr="00377BDA">
        <w:t xml:space="preserve">It is anticipated that the majority of referrals to the </w:t>
      </w:r>
      <w:r>
        <w:t>s</w:t>
      </w:r>
      <w:r w:rsidRPr="00377BDA">
        <w:t xml:space="preserve">ervice will be made via </w:t>
      </w:r>
      <w:r>
        <w:t>the Thames Valley Police Family Liaison Officers or Major Collision Investigation Team,</w:t>
      </w:r>
      <w:r w:rsidRPr="00377BDA">
        <w:t xml:space="preserve"> but referrals may also be </w:t>
      </w:r>
      <w:r>
        <w:t xml:space="preserve">directed via the National Road Victim </w:t>
      </w:r>
      <w:r>
        <w:lastRenderedPageBreak/>
        <w:t>Service (NRVS), the PCC in-house Victims First team or f</w:t>
      </w:r>
      <w:r w:rsidRPr="00377BDA">
        <w:t xml:space="preserve">rom other </w:t>
      </w:r>
      <w:r>
        <w:t xml:space="preserve">local </w:t>
      </w:r>
      <w:r w:rsidR="004263B0">
        <w:t xml:space="preserve">supporting </w:t>
      </w:r>
      <w:r w:rsidRPr="00377BDA">
        <w:t>agencies.</w:t>
      </w:r>
    </w:p>
    <w:p w14:paraId="18C96765" w14:textId="4CDF9570" w:rsidR="003961EB" w:rsidRDefault="00396E3D" w:rsidP="003961EB">
      <w:pPr>
        <w:pStyle w:val="Level3Number"/>
      </w:pPr>
      <w:r>
        <w:t>Service users</w:t>
      </w:r>
      <w:r w:rsidR="003961EB">
        <w:t xml:space="preserve"> will also be able to make self-referrals and the provider is responsible for ensuring that information about the service is easily accessible through a range of sources</w:t>
      </w:r>
      <w:r w:rsidR="00B72D41">
        <w:t xml:space="preserve"> and a self-referral process is available</w:t>
      </w:r>
      <w:r w:rsidR="003961EB">
        <w:t>.</w:t>
      </w:r>
    </w:p>
    <w:p w14:paraId="01905254" w14:textId="77777777" w:rsidR="003961EB" w:rsidRDefault="003961EB" w:rsidP="003961EB">
      <w:pPr>
        <w:pStyle w:val="Level3Number"/>
      </w:pPr>
      <w:r>
        <w:t>It will be necessary for the provider to develop excellent working relationships with referring partners to ensure that all participants taking part in the process are properly assessed, their expectations are managed, the potential implications of the process are understood and so that they have appropriate access to support, before, during and after the support process.</w:t>
      </w:r>
    </w:p>
    <w:p w14:paraId="18B322AE" w14:textId="5B6A14D9" w:rsidR="003961EB" w:rsidRPr="00A20D12" w:rsidRDefault="003961EB" w:rsidP="003961EB">
      <w:pPr>
        <w:pStyle w:val="Level3Number"/>
      </w:pPr>
      <w:r w:rsidRPr="00377BDA">
        <w:t xml:space="preserve">The </w:t>
      </w:r>
      <w:r>
        <w:t>Service will work closely with the P</w:t>
      </w:r>
      <w:r w:rsidRPr="00377BDA">
        <w:t xml:space="preserve">CC’s office, </w:t>
      </w:r>
      <w:r>
        <w:t>TVP</w:t>
      </w:r>
      <w:r w:rsidR="009927BE">
        <w:t>,</w:t>
      </w:r>
      <w:r w:rsidRPr="00377BDA">
        <w:t xml:space="preserve"> specialist </w:t>
      </w:r>
      <w:r w:rsidRPr="00D3404C">
        <w:rPr>
          <w:rStyle w:val="Emphasis"/>
          <w:i w:val="0"/>
        </w:rPr>
        <w:t>support</w:t>
      </w:r>
      <w:r w:rsidRPr="00377BDA">
        <w:t xml:space="preserve"> service </w:t>
      </w:r>
      <w:r>
        <w:t>providers</w:t>
      </w:r>
      <w:r w:rsidR="009927BE">
        <w:t xml:space="preserve"> and health providers</w:t>
      </w:r>
      <w:r w:rsidRPr="00377BDA">
        <w:t xml:space="preserve"> to continually improve effective referral processes to </w:t>
      </w:r>
      <w:r w:rsidR="009927BE">
        <w:t>service users.</w:t>
      </w:r>
    </w:p>
    <w:p w14:paraId="2B462F9A" w14:textId="77777777" w:rsidR="009A3890" w:rsidRDefault="009A3890" w:rsidP="003961EB">
      <w:pPr>
        <w:pStyle w:val="Level3Number"/>
      </w:pPr>
      <w:r>
        <w:t xml:space="preserve">It is expected that the service will not be able to meet all demand based off local analysis of data. The service will be expected to prioritise referrals of the most severe </w:t>
      </w:r>
      <w:r w:rsidR="004A337A">
        <w:t>injury, trauma</w:t>
      </w:r>
      <w:r>
        <w:t xml:space="preserve"> and</w:t>
      </w:r>
      <w:r w:rsidR="004A337A">
        <w:t xml:space="preserve"> of</w:t>
      </w:r>
      <w:r>
        <w:t xml:space="preserve"> life-changing circumstance</w:t>
      </w:r>
      <w:r w:rsidR="004A337A">
        <w:t>s</w:t>
      </w:r>
      <w:r>
        <w:t>.</w:t>
      </w:r>
    </w:p>
    <w:p w14:paraId="3E9CE360" w14:textId="77777777" w:rsidR="003961EB" w:rsidRPr="002A5273" w:rsidRDefault="003961EB" w:rsidP="003961EB">
      <w:pPr>
        <w:pStyle w:val="Level3Number"/>
      </w:pPr>
      <w:r w:rsidRPr="00A20D12">
        <w:t>The service will work with partner agencies to identify RTC victims at the earliest</w:t>
      </w:r>
      <w:r w:rsidRPr="00444214">
        <w:t xml:space="preserve"> opportunity and where possible automatically refer to the provider, in agreement with Information Managemen</w:t>
      </w:r>
      <w:r>
        <w:t xml:space="preserve">t and the successful provider. </w:t>
      </w:r>
    </w:p>
    <w:p w14:paraId="23CBB374" w14:textId="77777777" w:rsidR="003961EB" w:rsidRDefault="003961EB" w:rsidP="003961EB">
      <w:pPr>
        <w:pStyle w:val="Level2Number"/>
        <w:rPr>
          <w:b/>
        </w:rPr>
      </w:pPr>
      <w:r>
        <w:rPr>
          <w:b/>
        </w:rPr>
        <w:t>Assessment</w:t>
      </w:r>
    </w:p>
    <w:p w14:paraId="58B03591" w14:textId="0C4BCFAD" w:rsidR="003961EB" w:rsidRDefault="003961EB" w:rsidP="003961EB">
      <w:pPr>
        <w:pStyle w:val="Level3Number"/>
      </w:pPr>
      <w:r>
        <w:t xml:space="preserve">The service provider will be responsible for assessing </w:t>
      </w:r>
      <w:r w:rsidR="009927BE">
        <w:t xml:space="preserve">service </w:t>
      </w:r>
      <w:r w:rsidR="00396E3D">
        <w:t>users’</w:t>
      </w:r>
      <w:r w:rsidR="009927BE">
        <w:t xml:space="preserve"> needs</w:t>
      </w:r>
      <w:r w:rsidR="00396E3D">
        <w:t xml:space="preserve">. </w:t>
      </w:r>
      <w:r>
        <w:t>The purpose of the assessment is to ensure that:</w:t>
      </w:r>
    </w:p>
    <w:p w14:paraId="7B03E000" w14:textId="0B5436B0" w:rsidR="003961EB" w:rsidRPr="003044AA" w:rsidRDefault="003961EB" w:rsidP="003961EB">
      <w:pPr>
        <w:pStyle w:val="NoSpacing"/>
        <w:numPr>
          <w:ilvl w:val="0"/>
          <w:numId w:val="4"/>
        </w:numPr>
        <w:rPr>
          <w:rFonts w:ascii="Arial" w:hAnsi="Arial" w:cs="Arial"/>
          <w:sz w:val="20"/>
        </w:rPr>
      </w:pPr>
      <w:r w:rsidRPr="00405B1E">
        <w:rPr>
          <w:rFonts w:ascii="Arial" w:hAnsi="Arial" w:cs="Arial"/>
          <w:sz w:val="20"/>
        </w:rPr>
        <w:t>Risks are identified</w:t>
      </w:r>
    </w:p>
    <w:p w14:paraId="5EB56885" w14:textId="77777777" w:rsidR="003961EB" w:rsidRPr="003044AA" w:rsidRDefault="003961EB" w:rsidP="003961EB">
      <w:pPr>
        <w:pStyle w:val="NoSpacing"/>
        <w:numPr>
          <w:ilvl w:val="0"/>
          <w:numId w:val="4"/>
        </w:numPr>
        <w:rPr>
          <w:rFonts w:ascii="Arial" w:hAnsi="Arial" w:cs="Arial"/>
          <w:sz w:val="20"/>
        </w:rPr>
      </w:pPr>
      <w:r w:rsidRPr="00405B1E">
        <w:rPr>
          <w:rFonts w:ascii="Arial" w:hAnsi="Arial" w:cs="Arial"/>
          <w:sz w:val="20"/>
        </w:rPr>
        <w:t>There is an opportunity for a safe dialogue between participants</w:t>
      </w:r>
    </w:p>
    <w:p w14:paraId="70778E5B" w14:textId="67B3D4B0" w:rsidR="003961EB" w:rsidRDefault="003961EB" w:rsidP="003961EB">
      <w:pPr>
        <w:pStyle w:val="NoSpacing"/>
        <w:numPr>
          <w:ilvl w:val="0"/>
          <w:numId w:val="4"/>
        </w:numPr>
        <w:rPr>
          <w:rFonts w:ascii="Arial" w:hAnsi="Arial" w:cs="Arial"/>
          <w:sz w:val="20"/>
        </w:rPr>
      </w:pPr>
      <w:r w:rsidRPr="00405B1E">
        <w:rPr>
          <w:rFonts w:ascii="Arial" w:hAnsi="Arial" w:cs="Arial"/>
          <w:sz w:val="20"/>
        </w:rPr>
        <w:t xml:space="preserve">Steps are taken to identify what needs to be put in place to enable a </w:t>
      </w:r>
      <w:r>
        <w:rPr>
          <w:rFonts w:ascii="Arial" w:hAnsi="Arial" w:cs="Arial"/>
          <w:sz w:val="20"/>
        </w:rPr>
        <w:t xml:space="preserve">safe </w:t>
      </w:r>
      <w:r w:rsidR="00B72D41">
        <w:rPr>
          <w:rFonts w:ascii="Arial" w:hAnsi="Arial" w:cs="Arial"/>
          <w:sz w:val="20"/>
        </w:rPr>
        <w:t xml:space="preserve">and appropriate </w:t>
      </w:r>
      <w:r>
        <w:rPr>
          <w:rFonts w:ascii="Arial" w:hAnsi="Arial" w:cs="Arial"/>
          <w:sz w:val="20"/>
        </w:rPr>
        <w:t xml:space="preserve">support </w:t>
      </w:r>
      <w:r w:rsidRPr="00405B1E">
        <w:rPr>
          <w:rFonts w:ascii="Arial" w:hAnsi="Arial" w:cs="Arial"/>
          <w:sz w:val="20"/>
        </w:rPr>
        <w:t>process to happen</w:t>
      </w:r>
      <w:r w:rsidR="00B72D41">
        <w:rPr>
          <w:rFonts w:ascii="Arial" w:hAnsi="Arial" w:cs="Arial"/>
          <w:sz w:val="20"/>
        </w:rPr>
        <w:t xml:space="preserve"> to meet support outcomes</w:t>
      </w:r>
      <w:r w:rsidRPr="00405B1E">
        <w:rPr>
          <w:rFonts w:ascii="Arial" w:hAnsi="Arial" w:cs="Arial"/>
          <w:sz w:val="20"/>
        </w:rPr>
        <w:t>.</w:t>
      </w:r>
    </w:p>
    <w:p w14:paraId="359D234F" w14:textId="77777777" w:rsidR="003961EB" w:rsidRPr="00405B1E" w:rsidRDefault="003961EB" w:rsidP="003961EB">
      <w:pPr>
        <w:pStyle w:val="NoSpacing"/>
        <w:ind w:left="2421"/>
        <w:rPr>
          <w:rFonts w:ascii="Arial" w:hAnsi="Arial" w:cs="Arial"/>
          <w:sz w:val="20"/>
        </w:rPr>
      </w:pPr>
    </w:p>
    <w:p w14:paraId="6860570D" w14:textId="1BF3F4DB" w:rsidR="003961EB" w:rsidRDefault="003961EB" w:rsidP="003961EB">
      <w:pPr>
        <w:pStyle w:val="Level3Number"/>
      </w:pPr>
      <w:r w:rsidRPr="005F42A0">
        <w:t xml:space="preserve">Individuals must be provided sufficient information for them to understand what </w:t>
      </w:r>
      <w:r>
        <w:t>support</w:t>
      </w:r>
      <w:r w:rsidRPr="005F42A0">
        <w:t xml:space="preserve"> is and </w:t>
      </w:r>
      <w:r w:rsidR="001F47F9">
        <w:t>the</w:t>
      </w:r>
      <w:r w:rsidR="001F47F9" w:rsidRPr="005F42A0">
        <w:t xml:space="preserve"> potential</w:t>
      </w:r>
      <w:r w:rsidRPr="005F42A0">
        <w:t xml:space="preserve"> benefits. This is to </w:t>
      </w:r>
      <w:r>
        <w:t xml:space="preserve">ensure </w:t>
      </w:r>
      <w:r w:rsidRPr="005F42A0">
        <w:t xml:space="preserve">they feel able to make a free and informed choice about whether they would like to engage in the process. The expectations of all potential </w:t>
      </w:r>
      <w:r w:rsidR="009927BE">
        <w:t xml:space="preserve">service users </w:t>
      </w:r>
      <w:r w:rsidRPr="005F42A0">
        <w:t xml:space="preserve">must be managed to minimise the risk of further harm being caused. </w:t>
      </w:r>
    </w:p>
    <w:p w14:paraId="52F88741" w14:textId="0AF67509" w:rsidR="003961EB" w:rsidRDefault="003961EB" w:rsidP="003961EB">
      <w:pPr>
        <w:pStyle w:val="Level3Number"/>
      </w:pPr>
      <w:r w:rsidRPr="005F42A0">
        <w:t xml:space="preserve">If, upon assessment, it is found that </w:t>
      </w:r>
      <w:r w:rsidR="009927BE">
        <w:t xml:space="preserve">the service user is </w:t>
      </w:r>
      <w:r w:rsidR="00396E3D">
        <w:t>not suitable</w:t>
      </w:r>
      <w:r w:rsidRPr="005F42A0">
        <w:t xml:space="preserve"> for </w:t>
      </w:r>
      <w:r>
        <w:t>support</w:t>
      </w:r>
      <w:r w:rsidRPr="005F42A0">
        <w:t xml:space="preserve">, the provider must manage this sensitively and put in place an appropriate exit strategy to ensure participants are supported and their expectations managed. The provider will signpost service users where required to support services. </w:t>
      </w:r>
    </w:p>
    <w:p w14:paraId="2369BA48" w14:textId="77777777" w:rsidR="003961EB" w:rsidRDefault="003961EB" w:rsidP="003961EB">
      <w:pPr>
        <w:pStyle w:val="Level2Number"/>
        <w:rPr>
          <w:b/>
        </w:rPr>
      </w:pPr>
      <w:r w:rsidRPr="003044AA">
        <w:rPr>
          <w:b/>
        </w:rPr>
        <w:t>Monitoring information</w:t>
      </w:r>
    </w:p>
    <w:p w14:paraId="2A1C24B0" w14:textId="77777777" w:rsidR="003961EB" w:rsidRDefault="003961EB" w:rsidP="003961EB">
      <w:pPr>
        <w:pStyle w:val="Level3Number"/>
      </w:pPr>
      <w:r w:rsidRPr="00794B43">
        <w:lastRenderedPageBreak/>
        <w:t>The requirements for monitoring information will be finalised between the provider an</w:t>
      </w:r>
      <w:r>
        <w:t>d OPCC on award of the Grant.</w:t>
      </w:r>
    </w:p>
    <w:p w14:paraId="14B84730" w14:textId="77777777" w:rsidR="003961EB" w:rsidRPr="000D0970" w:rsidRDefault="003961EB" w:rsidP="003961EB">
      <w:pPr>
        <w:pStyle w:val="Level2Number"/>
        <w:rPr>
          <w:b/>
        </w:rPr>
      </w:pPr>
      <w:r w:rsidRPr="003044AA">
        <w:rPr>
          <w:b/>
        </w:rPr>
        <w:t xml:space="preserve">Grant Monitoring </w:t>
      </w:r>
    </w:p>
    <w:p w14:paraId="7C8FA858" w14:textId="5B65567D" w:rsidR="003961EB" w:rsidRDefault="003961EB" w:rsidP="003961EB">
      <w:pPr>
        <w:pStyle w:val="Level3Number"/>
      </w:pPr>
      <w:r>
        <w:t xml:space="preserve">The service provider will provide quarterly performance reports to the </w:t>
      </w:r>
      <w:r w:rsidR="009927BE">
        <w:t xml:space="preserve">Office of the </w:t>
      </w:r>
      <w:r w:rsidR="00396E3D">
        <w:t xml:space="preserve">PCC </w:t>
      </w:r>
      <w:r w:rsidR="00B72D41">
        <w:t xml:space="preserve">at least </w:t>
      </w:r>
      <w:r>
        <w:t xml:space="preserve">one week in advance of each </w:t>
      </w:r>
      <w:r w:rsidR="00B72D41">
        <w:t xml:space="preserve">grant </w:t>
      </w:r>
      <w:r>
        <w:t xml:space="preserve">monitoring meeting. </w:t>
      </w:r>
    </w:p>
    <w:p w14:paraId="2E3A22BE" w14:textId="77777777" w:rsidR="003961EB" w:rsidRDefault="003961EB" w:rsidP="003961EB">
      <w:pPr>
        <w:pStyle w:val="Level3Number"/>
      </w:pPr>
      <w:r>
        <w:t xml:space="preserve">Additional meetings can be requested by either the Police and Crime Commissioner’s Office or service provider to discuss and resolve issues that require urgent attention and which cannot wait to be addressed at the quarterly monitoring meeting. The quarterly meetings will also be an opportunity to discuss any other issues relevant to the service. </w:t>
      </w:r>
    </w:p>
    <w:p w14:paraId="0753A6B9" w14:textId="79054966" w:rsidR="003961EB" w:rsidRPr="003044AA" w:rsidRDefault="003961EB" w:rsidP="003961EB">
      <w:pPr>
        <w:pStyle w:val="Level3Number"/>
      </w:pPr>
      <w:r>
        <w:t xml:space="preserve">Details of this will be confirmed within the Grant Agreement for </w:t>
      </w:r>
      <w:r w:rsidR="00B72D41">
        <w:t xml:space="preserve">the </w:t>
      </w:r>
      <w:r>
        <w:t>succes</w:t>
      </w:r>
      <w:r w:rsidR="009927BE">
        <w:t>s</w:t>
      </w:r>
      <w:r>
        <w:t>ful applicant.</w:t>
      </w:r>
    </w:p>
    <w:p w14:paraId="547B845C" w14:textId="0FC6A6BE" w:rsidR="003961EB" w:rsidRPr="00794B43" w:rsidRDefault="00B72D41" w:rsidP="003961EB">
      <w:pPr>
        <w:pStyle w:val="Level3Number"/>
      </w:pPr>
      <w:r>
        <w:t>As a minimum t</w:t>
      </w:r>
      <w:r w:rsidR="003961EB" w:rsidRPr="00794B43">
        <w:t>he following should be monitored</w:t>
      </w:r>
      <w:r>
        <w:t xml:space="preserve"> by full details will be provided within the grant agreement</w:t>
      </w:r>
      <w:r w:rsidR="003961EB" w:rsidRPr="00794B43">
        <w:t>:</w:t>
      </w:r>
    </w:p>
    <w:p w14:paraId="2191934B" w14:textId="77777777" w:rsidR="003961EB" w:rsidRPr="00735C21" w:rsidRDefault="003961EB" w:rsidP="003961EB">
      <w:pPr>
        <w:numPr>
          <w:ilvl w:val="0"/>
          <w:numId w:val="1"/>
        </w:numPr>
        <w:spacing w:after="0" w:line="276" w:lineRule="auto"/>
        <w:rPr>
          <w:rFonts w:ascii="Arial" w:hAnsi="Arial" w:cs="Arial"/>
          <w:sz w:val="20"/>
          <w:szCs w:val="20"/>
        </w:rPr>
      </w:pPr>
      <w:r w:rsidRPr="00735C21">
        <w:rPr>
          <w:rFonts w:ascii="Arial" w:hAnsi="Arial" w:cs="Arial"/>
          <w:sz w:val="20"/>
          <w:szCs w:val="20"/>
        </w:rPr>
        <w:t>Number of referrals received, number refused, number accepted</w:t>
      </w:r>
    </w:p>
    <w:p w14:paraId="68CC5DDD" w14:textId="77777777" w:rsidR="003961EB" w:rsidRPr="00735C21" w:rsidRDefault="003961EB" w:rsidP="003961EB">
      <w:pPr>
        <w:numPr>
          <w:ilvl w:val="0"/>
          <w:numId w:val="1"/>
        </w:numPr>
        <w:spacing w:after="0" w:line="276" w:lineRule="auto"/>
        <w:rPr>
          <w:rFonts w:ascii="Arial" w:hAnsi="Arial" w:cs="Arial"/>
          <w:sz w:val="20"/>
          <w:szCs w:val="20"/>
        </w:rPr>
      </w:pPr>
      <w:r w:rsidRPr="00735C21">
        <w:rPr>
          <w:rFonts w:ascii="Arial" w:hAnsi="Arial" w:cs="Arial"/>
          <w:sz w:val="20"/>
          <w:szCs w:val="20"/>
        </w:rPr>
        <w:t xml:space="preserve">Of those who accept, number of those who progress to full </w:t>
      </w:r>
      <w:r>
        <w:rPr>
          <w:rFonts w:ascii="Arial" w:hAnsi="Arial" w:cs="Arial"/>
          <w:sz w:val="20"/>
          <w:szCs w:val="20"/>
        </w:rPr>
        <w:t>support</w:t>
      </w:r>
    </w:p>
    <w:p w14:paraId="0339DB47" w14:textId="77777777" w:rsidR="003961EB" w:rsidRPr="00735C21" w:rsidRDefault="003961EB" w:rsidP="003961EB">
      <w:pPr>
        <w:numPr>
          <w:ilvl w:val="0"/>
          <w:numId w:val="1"/>
        </w:numPr>
        <w:spacing w:after="0" w:line="276" w:lineRule="auto"/>
        <w:rPr>
          <w:rFonts w:ascii="Arial" w:hAnsi="Arial" w:cs="Arial"/>
          <w:sz w:val="20"/>
          <w:szCs w:val="20"/>
        </w:rPr>
      </w:pPr>
      <w:r w:rsidRPr="00735C21">
        <w:rPr>
          <w:rFonts w:ascii="Arial" w:hAnsi="Arial" w:cs="Arial"/>
          <w:sz w:val="20"/>
          <w:szCs w:val="20"/>
        </w:rPr>
        <w:t xml:space="preserve">Number of cases where </w:t>
      </w:r>
      <w:r>
        <w:rPr>
          <w:rFonts w:ascii="Arial" w:hAnsi="Arial" w:cs="Arial"/>
          <w:sz w:val="20"/>
          <w:szCs w:val="20"/>
        </w:rPr>
        <w:t>multiple</w:t>
      </w:r>
      <w:r w:rsidRPr="00735C21">
        <w:rPr>
          <w:rFonts w:ascii="Arial" w:hAnsi="Arial" w:cs="Arial"/>
          <w:sz w:val="20"/>
          <w:szCs w:val="20"/>
        </w:rPr>
        <w:t xml:space="preserve"> parties engage, number of cases where only one party engages</w:t>
      </w:r>
    </w:p>
    <w:p w14:paraId="5D9DED29" w14:textId="77777777" w:rsidR="003961EB" w:rsidRPr="00735C21" w:rsidRDefault="003961EB" w:rsidP="003961EB">
      <w:pPr>
        <w:numPr>
          <w:ilvl w:val="0"/>
          <w:numId w:val="1"/>
        </w:numPr>
        <w:spacing w:after="0" w:line="276" w:lineRule="auto"/>
        <w:rPr>
          <w:rFonts w:ascii="Arial" w:hAnsi="Arial" w:cs="Arial"/>
          <w:sz w:val="20"/>
          <w:szCs w:val="20"/>
        </w:rPr>
      </w:pPr>
      <w:r w:rsidRPr="00735C21">
        <w:rPr>
          <w:rFonts w:ascii="Arial" w:hAnsi="Arial" w:cs="Arial"/>
          <w:sz w:val="20"/>
          <w:szCs w:val="20"/>
        </w:rPr>
        <w:t>Any reasons / feedback collected about reasons for disengagement</w:t>
      </w:r>
    </w:p>
    <w:p w14:paraId="07E02F83" w14:textId="77777777" w:rsidR="00396E3D" w:rsidRDefault="003961EB" w:rsidP="00396E3D">
      <w:pPr>
        <w:numPr>
          <w:ilvl w:val="0"/>
          <w:numId w:val="1"/>
        </w:numPr>
        <w:spacing w:after="0" w:line="276" w:lineRule="auto"/>
        <w:rPr>
          <w:rFonts w:ascii="Arial" w:hAnsi="Arial" w:cs="Arial"/>
          <w:sz w:val="20"/>
          <w:szCs w:val="20"/>
        </w:rPr>
      </w:pPr>
      <w:r w:rsidRPr="00735C21">
        <w:rPr>
          <w:rFonts w:ascii="Arial" w:hAnsi="Arial" w:cs="Arial"/>
          <w:sz w:val="20"/>
          <w:szCs w:val="20"/>
        </w:rPr>
        <w:t>Number of cases (monthly) that a</w:t>
      </w:r>
      <w:r>
        <w:rPr>
          <w:rFonts w:ascii="Arial" w:hAnsi="Arial" w:cs="Arial"/>
          <w:sz w:val="20"/>
          <w:szCs w:val="20"/>
        </w:rPr>
        <w:t xml:space="preserve">re new / in progress / closed </w:t>
      </w:r>
    </w:p>
    <w:p w14:paraId="31986EFF" w14:textId="6A1A23E6" w:rsidR="003961EB" w:rsidRPr="00396E3D" w:rsidRDefault="003961EB" w:rsidP="00396E3D">
      <w:pPr>
        <w:numPr>
          <w:ilvl w:val="0"/>
          <w:numId w:val="1"/>
        </w:numPr>
        <w:spacing w:after="0" w:line="276" w:lineRule="auto"/>
        <w:rPr>
          <w:rFonts w:ascii="Arial" w:hAnsi="Arial" w:cs="Arial"/>
          <w:sz w:val="20"/>
          <w:szCs w:val="20"/>
        </w:rPr>
      </w:pPr>
      <w:r w:rsidRPr="00396E3D">
        <w:rPr>
          <w:rFonts w:ascii="Arial" w:hAnsi="Arial" w:cs="Arial"/>
          <w:sz w:val="20"/>
          <w:szCs w:val="20"/>
        </w:rPr>
        <w:t>Feedback from satisfaction surveys</w:t>
      </w:r>
    </w:p>
    <w:p w14:paraId="62089CED" w14:textId="72166328" w:rsidR="009927BE" w:rsidRDefault="009927BE" w:rsidP="003961EB">
      <w:pPr>
        <w:numPr>
          <w:ilvl w:val="0"/>
          <w:numId w:val="1"/>
        </w:numPr>
        <w:spacing w:after="0" w:line="276" w:lineRule="auto"/>
        <w:rPr>
          <w:rFonts w:ascii="Arial" w:hAnsi="Arial" w:cs="Arial"/>
          <w:sz w:val="20"/>
          <w:szCs w:val="20"/>
        </w:rPr>
      </w:pPr>
      <w:r>
        <w:rPr>
          <w:rFonts w:ascii="Arial" w:hAnsi="Arial" w:cs="Arial"/>
          <w:sz w:val="20"/>
          <w:szCs w:val="20"/>
        </w:rPr>
        <w:t>Case studies</w:t>
      </w:r>
    </w:p>
    <w:p w14:paraId="5FE6FB0D" w14:textId="643295BA" w:rsidR="00B72D41" w:rsidRPr="00735C21" w:rsidRDefault="00B72D41" w:rsidP="003961EB">
      <w:pPr>
        <w:numPr>
          <w:ilvl w:val="0"/>
          <w:numId w:val="1"/>
        </w:numPr>
        <w:spacing w:after="0" w:line="276" w:lineRule="auto"/>
        <w:rPr>
          <w:rFonts w:ascii="Arial" w:hAnsi="Arial" w:cs="Arial"/>
          <w:sz w:val="20"/>
          <w:szCs w:val="20"/>
        </w:rPr>
      </w:pPr>
      <w:r>
        <w:rPr>
          <w:rFonts w:ascii="Arial" w:hAnsi="Arial" w:cs="Arial"/>
          <w:sz w:val="20"/>
          <w:szCs w:val="20"/>
        </w:rPr>
        <w:t>Outcomes measures</w:t>
      </w:r>
    </w:p>
    <w:p w14:paraId="3FE6EDE6" w14:textId="77777777" w:rsidR="003961EB" w:rsidRPr="00735C21" w:rsidRDefault="003961EB" w:rsidP="003961EB">
      <w:pPr>
        <w:spacing w:after="0" w:line="276" w:lineRule="auto"/>
        <w:rPr>
          <w:rFonts w:ascii="Arial" w:hAnsi="Arial" w:cs="Arial"/>
          <w:sz w:val="20"/>
          <w:szCs w:val="20"/>
        </w:rPr>
      </w:pPr>
    </w:p>
    <w:p w14:paraId="7ECF0886" w14:textId="77777777" w:rsidR="003961EB" w:rsidRPr="00044BC7" w:rsidRDefault="003961EB" w:rsidP="003961EB">
      <w:pPr>
        <w:pStyle w:val="Level2Number"/>
        <w:rPr>
          <w:b/>
        </w:rPr>
      </w:pPr>
      <w:r w:rsidRPr="003044AA">
        <w:rPr>
          <w:b/>
        </w:rPr>
        <w:t>Information Management</w:t>
      </w:r>
    </w:p>
    <w:p w14:paraId="6786E979" w14:textId="77777777" w:rsidR="003961EB" w:rsidRDefault="003961EB" w:rsidP="003961EB">
      <w:pPr>
        <w:pStyle w:val="Level3Number"/>
      </w:pPr>
      <w:r>
        <w:t xml:space="preserve">The provider is expected to work with the PCC and core partners across the Thames Valley, in line with agreed data sharing protocols, to ensure the needs of the clients are managed appropriately. </w:t>
      </w:r>
    </w:p>
    <w:p w14:paraId="3DB7BD45" w14:textId="77777777" w:rsidR="003961EB" w:rsidRDefault="003961EB" w:rsidP="003961EB">
      <w:pPr>
        <w:pStyle w:val="Level3Number"/>
      </w:pPr>
      <w:r>
        <w:t xml:space="preserve">It will be the provider’s responsibility to provide a case management system. It will also be the provider’s responsibility to ensure compliance with the any legislation around data security and General Data Protection Regulations (GDPR).  </w:t>
      </w:r>
    </w:p>
    <w:p w14:paraId="4CE4D2A3" w14:textId="77777777" w:rsidR="003961EB" w:rsidRDefault="003961EB" w:rsidP="003961EB">
      <w:pPr>
        <w:pStyle w:val="Level3Number"/>
      </w:pPr>
      <w:r>
        <w:t>The Service Provider must sign and adhere to the appropriate information sharing agreements, Data Processing Contract’s etc. and provide information as requested. For example, data protection policy; safeguarding policy; details of staff members/volunteers who have access to this information.</w:t>
      </w:r>
    </w:p>
    <w:p w14:paraId="01719780" w14:textId="77777777" w:rsidR="003961EB" w:rsidRPr="003044AA" w:rsidRDefault="003961EB" w:rsidP="003961EB">
      <w:pPr>
        <w:pStyle w:val="Level2Number"/>
        <w:rPr>
          <w:b/>
        </w:rPr>
      </w:pPr>
      <w:r>
        <w:rPr>
          <w:b/>
        </w:rPr>
        <w:t>Service Staffing Levels and Caseloads</w:t>
      </w:r>
    </w:p>
    <w:p w14:paraId="7DCDCCA2" w14:textId="77777777" w:rsidR="003961EB" w:rsidRDefault="003961EB" w:rsidP="003961EB">
      <w:pPr>
        <w:pStyle w:val="Level3Number"/>
      </w:pPr>
      <w:r w:rsidRPr="003044AA">
        <w:lastRenderedPageBreak/>
        <w:t>While the Police and Crime Commissioner’s office will not be prescriptive about the number and type of staff / volunteers within the service, it is expected that as a minimum the provider will ensure:</w:t>
      </w:r>
    </w:p>
    <w:p w14:paraId="5B305977" w14:textId="05BD800C" w:rsidR="003961EB" w:rsidRDefault="003961EB" w:rsidP="003961EB">
      <w:pPr>
        <w:pStyle w:val="ListParagraph"/>
        <w:numPr>
          <w:ilvl w:val="0"/>
          <w:numId w:val="5"/>
        </w:numPr>
        <w:rPr>
          <w:rFonts w:ascii="Arial" w:hAnsi="Arial" w:cs="Arial"/>
          <w:sz w:val="20"/>
        </w:rPr>
      </w:pPr>
      <w:r w:rsidRPr="000D0970">
        <w:rPr>
          <w:rFonts w:ascii="Arial" w:hAnsi="Arial" w:cs="Arial"/>
          <w:sz w:val="20"/>
        </w:rPr>
        <w:t xml:space="preserve">There </w:t>
      </w:r>
      <w:r w:rsidR="00E56A15">
        <w:rPr>
          <w:rFonts w:ascii="Arial" w:hAnsi="Arial" w:cs="Arial"/>
          <w:sz w:val="20"/>
        </w:rPr>
        <w:t>are</w:t>
      </w:r>
      <w:r w:rsidRPr="000D0970">
        <w:rPr>
          <w:rFonts w:ascii="Arial" w:hAnsi="Arial" w:cs="Arial"/>
          <w:sz w:val="20"/>
        </w:rPr>
        <w:t xml:space="preserve"> </w:t>
      </w:r>
      <w:r w:rsidR="00E56A15">
        <w:rPr>
          <w:rFonts w:ascii="Arial" w:hAnsi="Arial" w:cs="Arial"/>
          <w:sz w:val="20"/>
        </w:rPr>
        <w:t xml:space="preserve">existing mechanisms in place for the management </w:t>
      </w:r>
      <w:r w:rsidR="009927BE">
        <w:rPr>
          <w:rFonts w:ascii="Arial" w:hAnsi="Arial" w:cs="Arial"/>
          <w:sz w:val="20"/>
        </w:rPr>
        <w:t xml:space="preserve">and oversight </w:t>
      </w:r>
      <w:r w:rsidR="00E56A15">
        <w:rPr>
          <w:rFonts w:ascii="Arial" w:hAnsi="Arial" w:cs="Arial"/>
          <w:sz w:val="20"/>
        </w:rPr>
        <w:t xml:space="preserve">of the service. </w:t>
      </w:r>
      <w:r w:rsidRPr="000D0970">
        <w:rPr>
          <w:rFonts w:ascii="Arial" w:hAnsi="Arial" w:cs="Arial"/>
          <w:sz w:val="20"/>
        </w:rPr>
        <w:t>It is also critical that the Service has the capacity to work across the force area.</w:t>
      </w:r>
    </w:p>
    <w:p w14:paraId="68E4FDEC" w14:textId="77777777" w:rsidR="003961EB" w:rsidRDefault="003961EB" w:rsidP="003961EB">
      <w:pPr>
        <w:pStyle w:val="ListParagraph"/>
        <w:ind w:left="2520"/>
        <w:rPr>
          <w:rFonts w:ascii="Arial" w:hAnsi="Arial" w:cs="Arial"/>
          <w:sz w:val="20"/>
        </w:rPr>
      </w:pPr>
    </w:p>
    <w:p w14:paraId="33EE42D1" w14:textId="3C855A77" w:rsidR="003961EB" w:rsidRDefault="003961EB" w:rsidP="003961EB">
      <w:pPr>
        <w:pStyle w:val="ListParagraph"/>
        <w:numPr>
          <w:ilvl w:val="0"/>
          <w:numId w:val="5"/>
        </w:numPr>
        <w:rPr>
          <w:rFonts w:ascii="Arial" w:hAnsi="Arial" w:cs="Arial"/>
          <w:sz w:val="20"/>
        </w:rPr>
      </w:pPr>
      <w:r w:rsidRPr="000D0970">
        <w:rPr>
          <w:rFonts w:ascii="Arial" w:hAnsi="Arial" w:cs="Arial"/>
          <w:sz w:val="20"/>
        </w:rPr>
        <w:t xml:space="preserve">It is important that the provider recognises the </w:t>
      </w:r>
      <w:r w:rsidR="00396E3D">
        <w:rPr>
          <w:rFonts w:ascii="Arial" w:hAnsi="Arial" w:cs="Arial"/>
          <w:sz w:val="20"/>
        </w:rPr>
        <w:t xml:space="preserve">vast </w:t>
      </w:r>
      <w:r w:rsidRPr="000D0970">
        <w:rPr>
          <w:rFonts w:ascii="Arial" w:hAnsi="Arial" w:cs="Arial"/>
          <w:sz w:val="20"/>
        </w:rPr>
        <w:t xml:space="preserve">geography of the Thames Valley and </w:t>
      </w:r>
      <w:r>
        <w:rPr>
          <w:rFonts w:ascii="Arial" w:hAnsi="Arial" w:cs="Arial"/>
          <w:sz w:val="20"/>
        </w:rPr>
        <w:t>grant applications</w:t>
      </w:r>
      <w:r w:rsidRPr="000D0970">
        <w:rPr>
          <w:rFonts w:ascii="Arial" w:hAnsi="Arial" w:cs="Arial"/>
          <w:sz w:val="20"/>
        </w:rPr>
        <w:t xml:space="preserve"> need to demonstrate their ability to meet individual need across a widely diverse population. The service provider will need to pay particular attention to the way that our key statutory partners are structured and based locally. </w:t>
      </w:r>
    </w:p>
    <w:p w14:paraId="56861DF9" w14:textId="77777777" w:rsidR="003961EB" w:rsidRPr="000D0970" w:rsidRDefault="003961EB" w:rsidP="003961EB">
      <w:pPr>
        <w:pStyle w:val="ListParagraph"/>
        <w:rPr>
          <w:rFonts w:ascii="Arial" w:hAnsi="Arial" w:cs="Arial"/>
          <w:sz w:val="20"/>
        </w:rPr>
      </w:pPr>
    </w:p>
    <w:p w14:paraId="7238AF52" w14:textId="77777777" w:rsidR="003961EB" w:rsidRDefault="003961EB" w:rsidP="003961EB">
      <w:pPr>
        <w:pStyle w:val="ListParagraph"/>
        <w:numPr>
          <w:ilvl w:val="0"/>
          <w:numId w:val="5"/>
        </w:numPr>
        <w:rPr>
          <w:rFonts w:ascii="Arial" w:hAnsi="Arial" w:cs="Arial"/>
          <w:sz w:val="20"/>
        </w:rPr>
      </w:pPr>
      <w:r w:rsidRPr="000D0970">
        <w:rPr>
          <w:rFonts w:ascii="Arial" w:hAnsi="Arial" w:cs="Arial"/>
          <w:sz w:val="20"/>
        </w:rPr>
        <w:t>Practitioners do not undertake sensitive and/or complex cases unless they have the skills, experience and knowledge to do so. This includes having undertaken relevant training. It is important that all staff and/ or volunteers undertake regular professional development that is recorded and can be evidenced upon request.</w:t>
      </w:r>
    </w:p>
    <w:p w14:paraId="03AAE324" w14:textId="77777777" w:rsidR="003961EB" w:rsidRPr="000D0970" w:rsidRDefault="003961EB" w:rsidP="003961EB">
      <w:pPr>
        <w:pStyle w:val="ListParagraph"/>
        <w:rPr>
          <w:rFonts w:ascii="Arial" w:hAnsi="Arial" w:cs="Arial"/>
          <w:sz w:val="20"/>
        </w:rPr>
      </w:pPr>
    </w:p>
    <w:p w14:paraId="4DD8836A" w14:textId="77777777" w:rsidR="003961EB" w:rsidRDefault="003961EB" w:rsidP="003961EB">
      <w:pPr>
        <w:pStyle w:val="ListParagraph"/>
        <w:numPr>
          <w:ilvl w:val="0"/>
          <w:numId w:val="5"/>
        </w:numPr>
        <w:rPr>
          <w:rFonts w:ascii="Arial" w:hAnsi="Arial" w:cs="Arial"/>
          <w:sz w:val="20"/>
        </w:rPr>
      </w:pPr>
      <w:r w:rsidRPr="000D0970">
        <w:rPr>
          <w:rFonts w:ascii="Arial" w:hAnsi="Arial" w:cs="Arial"/>
          <w:sz w:val="20"/>
        </w:rPr>
        <w:t>All staff delivering support or accessing case information, including volunteers, must have completed enhanced DBS checks, which will be paid for by the service provider.</w:t>
      </w:r>
    </w:p>
    <w:p w14:paraId="06366136" w14:textId="77777777" w:rsidR="003961EB" w:rsidRPr="000D0970" w:rsidRDefault="003961EB" w:rsidP="003961EB">
      <w:pPr>
        <w:pStyle w:val="ListParagraph"/>
        <w:rPr>
          <w:rFonts w:ascii="Arial" w:hAnsi="Arial" w:cs="Arial"/>
          <w:sz w:val="20"/>
        </w:rPr>
      </w:pPr>
    </w:p>
    <w:p w14:paraId="6F3C1713" w14:textId="77777777" w:rsidR="003961EB" w:rsidRDefault="003961EB" w:rsidP="003961EB">
      <w:pPr>
        <w:pStyle w:val="ListParagraph"/>
        <w:numPr>
          <w:ilvl w:val="0"/>
          <w:numId w:val="5"/>
        </w:numPr>
        <w:rPr>
          <w:rFonts w:ascii="Arial" w:hAnsi="Arial" w:cs="Arial"/>
          <w:sz w:val="20"/>
        </w:rPr>
      </w:pPr>
      <w:r w:rsidRPr="000D0970">
        <w:rPr>
          <w:rFonts w:ascii="Arial" w:hAnsi="Arial" w:cs="Arial"/>
          <w:sz w:val="20"/>
        </w:rPr>
        <w:t>The provider must demonstrate how they intend to ensure service cover and capacity is maintained across the area and whether volunteers are to be incorporated into the service. If so, at what level and how they will feature in the overall structure.</w:t>
      </w:r>
    </w:p>
    <w:p w14:paraId="6F4E3886" w14:textId="77777777" w:rsidR="003961EB" w:rsidRPr="000D0970" w:rsidRDefault="003961EB" w:rsidP="003961EB">
      <w:pPr>
        <w:pStyle w:val="ListParagraph"/>
        <w:rPr>
          <w:rFonts w:ascii="Arial" w:hAnsi="Arial" w:cs="Arial"/>
          <w:sz w:val="20"/>
        </w:rPr>
      </w:pPr>
    </w:p>
    <w:p w14:paraId="26DB5A00" w14:textId="77777777" w:rsidR="003961EB" w:rsidRDefault="003961EB" w:rsidP="003961EB">
      <w:pPr>
        <w:pStyle w:val="ListParagraph"/>
        <w:numPr>
          <w:ilvl w:val="0"/>
          <w:numId w:val="5"/>
        </w:numPr>
        <w:rPr>
          <w:rFonts w:ascii="Arial" w:hAnsi="Arial" w:cs="Arial"/>
          <w:sz w:val="20"/>
        </w:rPr>
      </w:pPr>
      <w:r w:rsidRPr="000D0970">
        <w:rPr>
          <w:rFonts w:ascii="Arial" w:hAnsi="Arial" w:cs="Arial"/>
          <w:sz w:val="20"/>
        </w:rPr>
        <w:t xml:space="preserve">There is adequate staffing levels to provide a safe, quality service, meet expected capacity demands and offer some provision and flexibility out of hours. </w:t>
      </w:r>
    </w:p>
    <w:p w14:paraId="48188C70" w14:textId="77777777" w:rsidR="003961EB" w:rsidRPr="00AB6369" w:rsidRDefault="003961EB" w:rsidP="003961EB">
      <w:pPr>
        <w:pStyle w:val="ListParagraph"/>
        <w:rPr>
          <w:rFonts w:ascii="Arial" w:hAnsi="Arial" w:cs="Arial"/>
          <w:sz w:val="20"/>
        </w:rPr>
      </w:pPr>
    </w:p>
    <w:p w14:paraId="70D087BD" w14:textId="77777777" w:rsidR="003961EB" w:rsidRDefault="003961EB" w:rsidP="003961EB">
      <w:pPr>
        <w:pStyle w:val="Level2Number"/>
      </w:pPr>
      <w:r>
        <w:rPr>
          <w:b/>
        </w:rPr>
        <w:t>Staff training</w:t>
      </w:r>
    </w:p>
    <w:p w14:paraId="0AF462D0" w14:textId="02DCA01B" w:rsidR="003961EB" w:rsidRPr="002A5273" w:rsidRDefault="003961EB" w:rsidP="003961EB">
      <w:pPr>
        <w:pStyle w:val="Level3Number"/>
      </w:pPr>
      <w:r w:rsidRPr="002A5273">
        <w:t>Practitioners will be experienced in working with vulnerable adults, and/or come from a trauma informed, counselling</w:t>
      </w:r>
      <w:r w:rsidR="009927BE">
        <w:t>/ support</w:t>
      </w:r>
      <w:r w:rsidRPr="002A5273">
        <w:t xml:space="preserve"> background. </w:t>
      </w:r>
    </w:p>
    <w:p w14:paraId="5C7F707F" w14:textId="5A26D341" w:rsidR="003961EB" w:rsidRPr="002A5273" w:rsidRDefault="003961EB" w:rsidP="003961EB">
      <w:pPr>
        <w:pStyle w:val="Level3Number"/>
      </w:pPr>
      <w:r w:rsidRPr="002A5273">
        <w:t xml:space="preserve">Practitioners will have relevant safeguarding experience and </w:t>
      </w:r>
      <w:r w:rsidR="001F47F9">
        <w:t>training.</w:t>
      </w:r>
    </w:p>
    <w:p w14:paraId="200B950D" w14:textId="28186AAD" w:rsidR="003961EB" w:rsidRPr="002A5273" w:rsidRDefault="00E56A15" w:rsidP="003961EB">
      <w:pPr>
        <w:pStyle w:val="Level3Number"/>
      </w:pPr>
      <w:r>
        <w:t>The Provider</w:t>
      </w:r>
      <w:r w:rsidRPr="002A5273">
        <w:t xml:space="preserve"> </w:t>
      </w:r>
      <w:r w:rsidR="003961EB" w:rsidRPr="002A5273">
        <w:t xml:space="preserve">will ensure that a range of person-centred, effective emotional support interventions are available. </w:t>
      </w:r>
    </w:p>
    <w:p w14:paraId="7761D030" w14:textId="63A340B1" w:rsidR="003961EB" w:rsidRPr="002A5273" w:rsidRDefault="003961EB" w:rsidP="003961EB">
      <w:pPr>
        <w:pStyle w:val="Level3Number"/>
      </w:pPr>
      <w:r w:rsidRPr="002A5273">
        <w:t xml:space="preserve">Whilst the service is not a clinical or therapeutic service, the provider must have a trauma informed and clinically informed approach to supporting </w:t>
      </w:r>
      <w:r w:rsidR="00396E3D">
        <w:t>service users</w:t>
      </w:r>
      <w:r w:rsidRPr="002A5273">
        <w:t>.</w:t>
      </w:r>
    </w:p>
    <w:p w14:paraId="7E7CB1AD" w14:textId="1E8341FA" w:rsidR="003961EB" w:rsidRPr="003044AA" w:rsidRDefault="00B72D41" w:rsidP="003961EB">
      <w:pPr>
        <w:pStyle w:val="Level2Number"/>
        <w:rPr>
          <w:b/>
        </w:rPr>
      </w:pPr>
      <w:r w:rsidRPr="003044AA">
        <w:rPr>
          <w:b/>
        </w:rPr>
        <w:t>Accommodation</w:t>
      </w:r>
    </w:p>
    <w:p w14:paraId="38E6E472" w14:textId="30583F26" w:rsidR="0034716A" w:rsidRDefault="003961EB" w:rsidP="006C1542">
      <w:pPr>
        <w:pStyle w:val="Level3Number"/>
      </w:pPr>
      <w:r>
        <w:lastRenderedPageBreak/>
        <w:t>The service provider will supply their own accommodation</w:t>
      </w:r>
      <w:r w:rsidR="00B72D41">
        <w:t>, where relevant,</w:t>
      </w:r>
      <w:r>
        <w:t xml:space="preserve"> and must consider the </w:t>
      </w:r>
      <w:r w:rsidR="0034716A">
        <w:t xml:space="preserve">service user </w:t>
      </w:r>
      <w:r>
        <w:t>need</w:t>
      </w:r>
      <w:r w:rsidR="0034716A">
        <w:t xml:space="preserve">s and, where possible meet </w:t>
      </w:r>
      <w:r>
        <w:t>in locations that are convenient to them</w:t>
      </w:r>
    </w:p>
    <w:p w14:paraId="360B40EE" w14:textId="27AFF3C2" w:rsidR="00396E3D" w:rsidRDefault="007B3F39" w:rsidP="006C1542">
      <w:pPr>
        <w:pStyle w:val="Level3Number"/>
      </w:pPr>
      <w:r>
        <w:t>The service</w:t>
      </w:r>
      <w:r w:rsidR="0034716A">
        <w:t xml:space="preserve"> may include the provision of online support but accessibility needs should be considered </w:t>
      </w:r>
      <w:r>
        <w:t xml:space="preserve">in deciding the right location for support and a flexible approach will be required to ensure service users can sufficiently access support. </w:t>
      </w:r>
    </w:p>
    <w:p w14:paraId="2D8A4FBF" w14:textId="08F5B0B4" w:rsidR="003961EB" w:rsidRDefault="003961EB" w:rsidP="006C1542">
      <w:pPr>
        <w:pStyle w:val="Level3Number"/>
      </w:pPr>
      <w:r>
        <w:t>It will be beneficial for the service provider to build local relationships with partner agencies, for example, local roads policing units</w:t>
      </w:r>
      <w:r w:rsidR="009927BE">
        <w:t>,</w:t>
      </w:r>
      <w:r>
        <w:t xml:space="preserve"> victim support services</w:t>
      </w:r>
      <w:r w:rsidR="009927BE">
        <w:t xml:space="preserve"> and health providers</w:t>
      </w:r>
      <w:r>
        <w:t>.</w:t>
      </w:r>
    </w:p>
    <w:p w14:paraId="2E221C44" w14:textId="77777777" w:rsidR="003961EB" w:rsidRPr="00405B1E" w:rsidRDefault="003961EB" w:rsidP="003961EB">
      <w:pPr>
        <w:pStyle w:val="Level2Number"/>
        <w:rPr>
          <w:b/>
        </w:rPr>
      </w:pPr>
      <w:r w:rsidRPr="00405B1E">
        <w:rPr>
          <w:b/>
        </w:rPr>
        <w:t>Completion and Feedback</w:t>
      </w:r>
    </w:p>
    <w:p w14:paraId="6DA33A49" w14:textId="52FCE84B" w:rsidR="003961EB" w:rsidRPr="005F42A0" w:rsidRDefault="003961EB" w:rsidP="003961EB">
      <w:pPr>
        <w:pStyle w:val="Level3Number"/>
      </w:pPr>
      <w:r w:rsidRPr="005F42A0">
        <w:t xml:space="preserve">On completion of the </w:t>
      </w:r>
      <w:r>
        <w:t>support</w:t>
      </w:r>
      <w:r w:rsidRPr="005F42A0">
        <w:t xml:space="preserve"> process, the provider sh</w:t>
      </w:r>
      <w:r w:rsidR="00396E3D">
        <w:t>ould ensure that service users</w:t>
      </w:r>
      <w:r w:rsidRPr="005F42A0">
        <w:t xml:space="preserve"> are offered the opportunity to reflect on their experience, access additional support and evaluate the service provided to them. This will include their satisfaction with the service provided and outcome, as well as the impact that they feel the process has had on their health and well-being. This is with a view to making continuous improvements to service provision. </w:t>
      </w:r>
    </w:p>
    <w:p w14:paraId="29FFFDB4" w14:textId="77777777" w:rsidR="003961EB" w:rsidRPr="003044AA" w:rsidRDefault="003961EB" w:rsidP="003961EB">
      <w:pPr>
        <w:pStyle w:val="Level2Number"/>
      </w:pPr>
      <w:r>
        <w:rPr>
          <w:b/>
        </w:rPr>
        <w:t>Equalities and Social Value</w:t>
      </w:r>
    </w:p>
    <w:p w14:paraId="5CB4AD8B" w14:textId="722A8889" w:rsidR="003961EB" w:rsidRDefault="003961EB" w:rsidP="003961EB">
      <w:pPr>
        <w:pStyle w:val="Level3Number"/>
      </w:pPr>
      <w:r w:rsidRPr="005F42A0">
        <w:t xml:space="preserve">The Service must comply with equality law and fulfil its duties under the Equality and Diversity Act 2010 for people with protected characteristics. The Service must respect the diversity of local communities and provide services in a safe environment free from discrimination where all individuals are treated fairly and with dignity and respect appropriate to their needs. </w:t>
      </w:r>
    </w:p>
    <w:p w14:paraId="3AF69903" w14:textId="3E9635F2" w:rsidR="003961EB" w:rsidRDefault="003961EB" w:rsidP="003961EB">
      <w:pPr>
        <w:pStyle w:val="Level3Number"/>
      </w:pPr>
      <w:r w:rsidRPr="005F42A0">
        <w:t xml:space="preserve">The service should aim to deliver additional </w:t>
      </w:r>
      <w:r w:rsidR="00F05993">
        <w:t>s</w:t>
      </w:r>
      <w:r w:rsidRPr="005F42A0">
        <w:t xml:space="preserve">ocial </w:t>
      </w:r>
      <w:r w:rsidR="00F05993">
        <w:t>v</w:t>
      </w:r>
      <w:r w:rsidRPr="005F42A0">
        <w:t>alue</w:t>
      </w:r>
      <w:r w:rsidR="00F05993">
        <w:t>.</w:t>
      </w:r>
      <w:r w:rsidRPr="005F42A0">
        <w:t xml:space="preserve"> </w:t>
      </w:r>
    </w:p>
    <w:p w14:paraId="2158D38B" w14:textId="0182DB4F" w:rsidR="003961EB" w:rsidRPr="00BA68A1" w:rsidRDefault="003961EB" w:rsidP="003961EB">
      <w:pPr>
        <w:pStyle w:val="Level2Number"/>
        <w:rPr>
          <w:b/>
        </w:rPr>
      </w:pPr>
      <w:r w:rsidRPr="00BA68A1">
        <w:rPr>
          <w:b/>
        </w:rPr>
        <w:t xml:space="preserve">Safeguarding </w:t>
      </w:r>
    </w:p>
    <w:p w14:paraId="67B851F6" w14:textId="77777777" w:rsidR="003961EB" w:rsidRDefault="003961EB" w:rsidP="003961EB">
      <w:pPr>
        <w:pStyle w:val="Level3Number"/>
      </w:pPr>
      <w:r w:rsidRPr="00377BDA">
        <w:t xml:space="preserve">The </w:t>
      </w:r>
      <w:r>
        <w:t>s</w:t>
      </w:r>
      <w:r w:rsidRPr="00377BDA">
        <w:t>ervice is required to work collaboratively across agencies to ensure a holistic contribution to safeguard</w:t>
      </w:r>
      <w:r>
        <w:t>ing</w:t>
      </w:r>
      <w:r w:rsidRPr="00377BDA">
        <w:t xml:space="preserve"> and protect</w:t>
      </w:r>
      <w:r>
        <w:t>ion of</w:t>
      </w:r>
      <w:r w:rsidRPr="00377BDA">
        <w:t xml:space="preserve"> vulnerable adults and children at risk of significant harm in accordance with statutory guidance</w:t>
      </w:r>
      <w:r w:rsidRPr="00272E0B">
        <w:t>, and any subsequent amendments.</w:t>
      </w:r>
    </w:p>
    <w:p w14:paraId="5E285AD5" w14:textId="3CFF3CB8" w:rsidR="00013A48" w:rsidRDefault="003961EB" w:rsidP="00F9697D">
      <w:pPr>
        <w:pStyle w:val="Level3Number"/>
      </w:pPr>
      <w:r w:rsidRPr="004E211F">
        <w:rPr>
          <w:rStyle w:val="Emphasis"/>
          <w:i w:val="0"/>
        </w:rPr>
        <w:t xml:space="preserve">The service must therefore have dedicated Safeguarding Policy and Procedures in place, in line with </w:t>
      </w:r>
      <w:r>
        <w:rPr>
          <w:rStyle w:val="Emphasis"/>
          <w:i w:val="0"/>
        </w:rPr>
        <w:t>local children’s and adult safeguarding b</w:t>
      </w:r>
      <w:r w:rsidRPr="004E211F">
        <w:rPr>
          <w:rStyle w:val="Emphasis"/>
          <w:i w:val="0"/>
        </w:rPr>
        <w:t>oard requirements.</w:t>
      </w:r>
    </w:p>
    <w:sectPr w:rsidR="00013A4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7E64B" w14:textId="77777777" w:rsidR="007E4658" w:rsidRDefault="007E4658" w:rsidP="003961EB">
      <w:pPr>
        <w:spacing w:after="0" w:line="240" w:lineRule="auto"/>
      </w:pPr>
      <w:r>
        <w:separator/>
      </w:r>
    </w:p>
  </w:endnote>
  <w:endnote w:type="continuationSeparator" w:id="0">
    <w:p w14:paraId="0AD56092" w14:textId="77777777" w:rsidR="007E4658" w:rsidRDefault="007E4658" w:rsidP="0039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403B6" w14:textId="77777777" w:rsidR="007E4658" w:rsidRDefault="007E4658" w:rsidP="003961EB">
      <w:pPr>
        <w:spacing w:after="0" w:line="240" w:lineRule="auto"/>
      </w:pPr>
      <w:r>
        <w:separator/>
      </w:r>
    </w:p>
  </w:footnote>
  <w:footnote w:type="continuationSeparator" w:id="0">
    <w:p w14:paraId="519BC981" w14:textId="77777777" w:rsidR="007E4658" w:rsidRDefault="007E4658" w:rsidP="0039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2F5E" w14:textId="77777777" w:rsidR="00E40CFC" w:rsidRDefault="00E40CFC">
    <w:pPr>
      <w:pStyle w:val="Header"/>
      <w:rPr>
        <w:noProof/>
        <w:lang w:eastAsia="en-GB"/>
      </w:rPr>
    </w:pPr>
  </w:p>
  <w:p w14:paraId="29FB2322" w14:textId="77777777" w:rsidR="003961EB" w:rsidRDefault="003961EB">
    <w:pPr>
      <w:pStyle w:val="Header"/>
    </w:pPr>
    <w:r>
      <w:rPr>
        <w:noProof/>
        <w:lang w:eastAsia="en-GB"/>
      </w:rPr>
      <w:drawing>
        <wp:anchor distT="0" distB="0" distL="114300" distR="114300" simplePos="0" relativeHeight="251659264" behindDoc="1" locked="0" layoutInCell="1" allowOverlap="1" wp14:anchorId="1BD35988" wp14:editId="161E738D">
          <wp:simplePos x="0" y="0"/>
          <wp:positionH relativeFrom="margin">
            <wp:posOffset>-890905</wp:posOffset>
          </wp:positionH>
          <wp:positionV relativeFrom="paragraph">
            <wp:posOffset>-571500</wp:posOffset>
          </wp:positionV>
          <wp:extent cx="1036320" cy="1036320"/>
          <wp:effectExtent l="0" t="0" r="0" b="0"/>
          <wp:wrapTight wrapText="bothSides">
            <wp:wrapPolygon edited="0">
              <wp:start x="0" y="0"/>
              <wp:lineTo x="0" y="21044"/>
              <wp:lineTo x="21044" y="21044"/>
              <wp:lineTo x="21044" y="0"/>
              <wp:lineTo x="0" y="0"/>
            </wp:wrapPolygon>
          </wp:wrapTight>
          <wp:docPr id="3" name="Picture 3" descr="new_pc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pcc_logo_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ACF"/>
    <w:multiLevelType w:val="hybridMultilevel"/>
    <w:tmpl w:val="FB9AD4A0"/>
    <w:lvl w:ilvl="0" w:tplc="08090001">
      <w:start w:val="1"/>
      <w:numFmt w:val="bullet"/>
      <w:lvlText w:val=""/>
      <w:lvlJc w:val="left"/>
      <w:pPr>
        <w:ind w:left="3272"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E804547"/>
    <w:multiLevelType w:val="hybridMultilevel"/>
    <w:tmpl w:val="D4E4BF7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C0E41EF"/>
    <w:multiLevelType w:val="hybridMultilevel"/>
    <w:tmpl w:val="6C64ACE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39401953"/>
    <w:multiLevelType w:val="hybridMultilevel"/>
    <w:tmpl w:val="0680AF6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E7169"/>
    <w:multiLevelType w:val="multilevel"/>
    <w:tmpl w:val="F64A1236"/>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rPr>
        <w:b w:val="0"/>
        <w:color w:val="auto"/>
        <w:sz w:val="20"/>
        <w:szCs w:val="20"/>
      </w:rPr>
    </w:lvl>
    <w:lvl w:ilvl="2">
      <w:start w:val="1"/>
      <w:numFmt w:val="decimal"/>
      <w:pStyle w:val="Level3Number"/>
      <w:lvlText w:val="%1.%2.%3"/>
      <w:lvlJc w:val="left"/>
      <w:pPr>
        <w:tabs>
          <w:tab w:val="num" w:pos="1701"/>
        </w:tabs>
        <w:ind w:left="1701" w:hanging="850"/>
      </w:pPr>
      <w:rPr>
        <w:b w:val="0"/>
        <w:color w:val="auto"/>
      </w:r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5" w15:restartNumberingAfterBreak="0">
    <w:nsid w:val="4D2E2DEF"/>
    <w:multiLevelType w:val="hybridMultilevel"/>
    <w:tmpl w:val="A70AD06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 w15:restartNumberingAfterBreak="0">
    <w:nsid w:val="54CF4048"/>
    <w:multiLevelType w:val="hybridMultilevel"/>
    <w:tmpl w:val="775C5FAE"/>
    <w:lvl w:ilvl="0" w:tplc="08090001">
      <w:start w:val="1"/>
      <w:numFmt w:val="bullet"/>
      <w:lvlText w:val=""/>
      <w:lvlJc w:val="left"/>
      <w:pPr>
        <w:ind w:left="4122"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5BAA41A3"/>
    <w:multiLevelType w:val="hybridMultilevel"/>
    <w:tmpl w:val="9DC2A16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742F0D0A"/>
    <w:multiLevelType w:val="hybridMultilevel"/>
    <w:tmpl w:val="012A0A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EB"/>
    <w:rsid w:val="000001A2"/>
    <w:rsid w:val="00013A48"/>
    <w:rsid w:val="0015480B"/>
    <w:rsid w:val="001A39F5"/>
    <w:rsid w:val="001F47F9"/>
    <w:rsid w:val="00212039"/>
    <w:rsid w:val="00265DBE"/>
    <w:rsid w:val="0034716A"/>
    <w:rsid w:val="003961EB"/>
    <w:rsid w:val="00396E3D"/>
    <w:rsid w:val="003A4D2A"/>
    <w:rsid w:val="004263B0"/>
    <w:rsid w:val="004A337A"/>
    <w:rsid w:val="004A5A4B"/>
    <w:rsid w:val="00525C21"/>
    <w:rsid w:val="006208F4"/>
    <w:rsid w:val="006869F9"/>
    <w:rsid w:val="007A052B"/>
    <w:rsid w:val="007A38F0"/>
    <w:rsid w:val="007B3F39"/>
    <w:rsid w:val="007E4658"/>
    <w:rsid w:val="008A7007"/>
    <w:rsid w:val="008B03F7"/>
    <w:rsid w:val="008D3D64"/>
    <w:rsid w:val="00911165"/>
    <w:rsid w:val="00941BD3"/>
    <w:rsid w:val="009927BE"/>
    <w:rsid w:val="009A3890"/>
    <w:rsid w:val="009C2E13"/>
    <w:rsid w:val="009D3A13"/>
    <w:rsid w:val="00A13F9F"/>
    <w:rsid w:val="00A20D12"/>
    <w:rsid w:val="00A56083"/>
    <w:rsid w:val="00B72D41"/>
    <w:rsid w:val="00D25FC1"/>
    <w:rsid w:val="00E14048"/>
    <w:rsid w:val="00E40CFC"/>
    <w:rsid w:val="00E56A15"/>
    <w:rsid w:val="00E61946"/>
    <w:rsid w:val="00EF5CFB"/>
    <w:rsid w:val="00F05993"/>
    <w:rsid w:val="00F7564F"/>
    <w:rsid w:val="00F9697D"/>
    <w:rsid w:val="00FD1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635C"/>
  <w15:chartTrackingRefBased/>
  <w15:docId w15:val="{00A2BEE2-AD14-4BA5-A8F7-954221A3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3961EB"/>
    <w:pPr>
      <w:ind w:left="720"/>
      <w:contextualSpacing/>
    </w:pPr>
  </w:style>
  <w:style w:type="character" w:styleId="Hyperlink">
    <w:name w:val="Hyperlink"/>
    <w:basedOn w:val="DefaultParagraphFont"/>
    <w:uiPriority w:val="99"/>
    <w:unhideWhenUsed/>
    <w:rsid w:val="003961EB"/>
    <w:rPr>
      <w:color w:val="0563C1" w:themeColor="hyperlink"/>
      <w:u w:val="single"/>
    </w:rPr>
  </w:style>
  <w:style w:type="character" w:styleId="CommentReference">
    <w:name w:val="annotation reference"/>
    <w:basedOn w:val="DefaultParagraphFont"/>
    <w:uiPriority w:val="99"/>
    <w:semiHidden/>
    <w:unhideWhenUsed/>
    <w:rsid w:val="003961EB"/>
    <w:rPr>
      <w:sz w:val="16"/>
      <w:szCs w:val="16"/>
    </w:rPr>
  </w:style>
  <w:style w:type="paragraph" w:styleId="CommentText">
    <w:name w:val="annotation text"/>
    <w:basedOn w:val="Normal"/>
    <w:link w:val="CommentTextChar"/>
    <w:uiPriority w:val="99"/>
    <w:unhideWhenUsed/>
    <w:rsid w:val="003961EB"/>
    <w:pPr>
      <w:spacing w:line="240" w:lineRule="auto"/>
    </w:pPr>
    <w:rPr>
      <w:sz w:val="20"/>
      <w:szCs w:val="20"/>
    </w:rPr>
  </w:style>
  <w:style w:type="character" w:customStyle="1" w:styleId="CommentTextChar">
    <w:name w:val="Comment Text Char"/>
    <w:basedOn w:val="DefaultParagraphFont"/>
    <w:link w:val="CommentText"/>
    <w:uiPriority w:val="99"/>
    <w:rsid w:val="003961EB"/>
    <w:rPr>
      <w:sz w:val="20"/>
      <w:szCs w:val="20"/>
    </w:rPr>
  </w:style>
  <w:style w:type="paragraph" w:customStyle="1" w:styleId="Level1Number">
    <w:name w:val="Level 1 Number"/>
    <w:aliases w:val="Block paragraph 1 CB,Block Para 1 RB"/>
    <w:basedOn w:val="Normal"/>
    <w:rsid w:val="003961EB"/>
    <w:pPr>
      <w:numPr>
        <w:numId w:val="2"/>
      </w:numPr>
      <w:spacing w:after="240" w:line="300" w:lineRule="auto"/>
      <w:jc w:val="both"/>
    </w:pPr>
    <w:rPr>
      <w:rFonts w:ascii="Arial" w:eastAsia="Calibri" w:hAnsi="Arial" w:cs="Arial"/>
      <w:sz w:val="20"/>
      <w:szCs w:val="20"/>
    </w:rPr>
  </w:style>
  <w:style w:type="paragraph" w:customStyle="1" w:styleId="Level2Number">
    <w:name w:val="Level 2 Number"/>
    <w:aliases w:val="Paragraph 1.1,Block paragraph 1.1,Block paragraph 1.1 CB,Report Para 1.1 RB,Block Para 1.1 RB"/>
    <w:basedOn w:val="Normal"/>
    <w:rsid w:val="003961EB"/>
    <w:pPr>
      <w:numPr>
        <w:ilvl w:val="1"/>
        <w:numId w:val="2"/>
      </w:numPr>
      <w:spacing w:after="240" w:line="300" w:lineRule="auto"/>
      <w:jc w:val="both"/>
    </w:pPr>
    <w:rPr>
      <w:rFonts w:ascii="Arial" w:eastAsia="Calibri" w:hAnsi="Arial" w:cs="Arial"/>
      <w:sz w:val="20"/>
      <w:szCs w:val="20"/>
    </w:rPr>
  </w:style>
  <w:style w:type="paragraph" w:customStyle="1" w:styleId="Level3Number">
    <w:name w:val="Level 3 Number"/>
    <w:aliases w:val="Paragraph 1.1.1,Block paragraph 1.1.1,Block paragraph 1.1.1 CB,Report Para 1.1.1 RB,Block Para 1.1.1 RB"/>
    <w:basedOn w:val="Normal"/>
    <w:rsid w:val="003961EB"/>
    <w:pPr>
      <w:numPr>
        <w:ilvl w:val="2"/>
        <w:numId w:val="2"/>
      </w:numPr>
      <w:spacing w:after="240" w:line="300" w:lineRule="auto"/>
      <w:jc w:val="both"/>
    </w:pPr>
    <w:rPr>
      <w:rFonts w:ascii="Arial" w:eastAsia="Calibri" w:hAnsi="Arial" w:cs="Arial"/>
      <w:sz w:val="20"/>
      <w:szCs w:val="20"/>
    </w:rPr>
  </w:style>
  <w:style w:type="paragraph" w:customStyle="1" w:styleId="Level4Number">
    <w:name w:val="Level 4 Number"/>
    <w:aliases w:val="Paragraph 1.1.1(a),Block paragraph 1.1.1(a),Block paragraph 1.1.1(a) CB,Report Para 1.1.1(a) RB,Block Para 1.1.1(a) RB"/>
    <w:basedOn w:val="Normal"/>
    <w:rsid w:val="003961EB"/>
    <w:pPr>
      <w:numPr>
        <w:ilvl w:val="3"/>
        <w:numId w:val="2"/>
      </w:numPr>
      <w:spacing w:after="240" w:line="300" w:lineRule="auto"/>
      <w:jc w:val="both"/>
    </w:pPr>
    <w:rPr>
      <w:rFonts w:ascii="Arial" w:eastAsia="Calibri" w:hAnsi="Arial" w:cs="Arial"/>
      <w:sz w:val="20"/>
      <w:szCs w:val="20"/>
    </w:rPr>
  </w:style>
  <w:style w:type="paragraph" w:customStyle="1" w:styleId="Level5Number">
    <w:name w:val="Level 5 Number"/>
    <w:aliases w:val="Paragraph 1.1.1(a)(i),Block paragraph 1.1.1(a)(i),Report Para 1.1.1(a)(i) RB,Block Para 1.1.1(a)(i) RB"/>
    <w:basedOn w:val="Normal"/>
    <w:rsid w:val="003961EB"/>
    <w:pPr>
      <w:numPr>
        <w:ilvl w:val="4"/>
        <w:numId w:val="2"/>
      </w:numPr>
      <w:spacing w:after="240" w:line="300" w:lineRule="auto"/>
      <w:jc w:val="both"/>
    </w:pPr>
    <w:rPr>
      <w:rFonts w:ascii="Arial" w:eastAsia="Calibri" w:hAnsi="Arial" w:cs="Arial"/>
      <w:sz w:val="20"/>
      <w:szCs w:val="20"/>
    </w:rPr>
  </w:style>
  <w:style w:type="paragraph" w:customStyle="1" w:styleId="Level6Number">
    <w:name w:val="Level 6 Number"/>
    <w:aliases w:val="Paragraph 1.1.1(a)(i)(A),Block paragraph 1.1.1(a)(i)(A),Report Para 1.1.1(a)(i)(A) RB,Block Para 1.1.1(a)(i)(A) RB"/>
    <w:basedOn w:val="Normal"/>
    <w:rsid w:val="003961EB"/>
    <w:pPr>
      <w:numPr>
        <w:ilvl w:val="5"/>
        <w:numId w:val="2"/>
      </w:numPr>
      <w:spacing w:after="240" w:line="300" w:lineRule="auto"/>
      <w:jc w:val="both"/>
    </w:pPr>
    <w:rPr>
      <w:rFonts w:ascii="Arial" w:eastAsia="Calibri" w:hAnsi="Arial" w:cs="Arial"/>
      <w:sz w:val="20"/>
      <w:szCs w:val="20"/>
    </w:rPr>
  </w:style>
  <w:style w:type="paragraph" w:customStyle="1" w:styleId="Level7Number">
    <w:name w:val="Level 7 Number"/>
    <w:basedOn w:val="Normal"/>
    <w:rsid w:val="003961EB"/>
    <w:pPr>
      <w:numPr>
        <w:ilvl w:val="6"/>
        <w:numId w:val="2"/>
      </w:numPr>
      <w:spacing w:after="240" w:line="300" w:lineRule="auto"/>
      <w:jc w:val="both"/>
    </w:pPr>
    <w:rPr>
      <w:rFonts w:ascii="Arial" w:eastAsia="Calibri" w:hAnsi="Arial" w:cs="Arial"/>
      <w:sz w:val="20"/>
      <w:szCs w:val="20"/>
    </w:rPr>
  </w:style>
  <w:style w:type="paragraph" w:customStyle="1" w:styleId="Level8Number">
    <w:name w:val="Level 8 Number"/>
    <w:basedOn w:val="Normal"/>
    <w:uiPriority w:val="49"/>
    <w:rsid w:val="003961EB"/>
    <w:pPr>
      <w:numPr>
        <w:ilvl w:val="7"/>
        <w:numId w:val="2"/>
      </w:numPr>
      <w:spacing w:after="240" w:line="300" w:lineRule="auto"/>
      <w:jc w:val="both"/>
    </w:pPr>
    <w:rPr>
      <w:rFonts w:ascii="Arial" w:eastAsia="Calibri" w:hAnsi="Arial" w:cs="Arial"/>
      <w:sz w:val="20"/>
      <w:szCs w:val="20"/>
    </w:rPr>
  </w:style>
  <w:style w:type="paragraph" w:customStyle="1" w:styleId="Level9Number">
    <w:name w:val="Level 9 Number"/>
    <w:basedOn w:val="Normal"/>
    <w:uiPriority w:val="49"/>
    <w:rsid w:val="003961EB"/>
    <w:pPr>
      <w:numPr>
        <w:ilvl w:val="8"/>
        <w:numId w:val="2"/>
      </w:numPr>
      <w:spacing w:after="240" w:line="300" w:lineRule="auto"/>
      <w:jc w:val="both"/>
    </w:pPr>
    <w:rPr>
      <w:rFonts w:ascii="Arial" w:eastAsia="Calibri" w:hAnsi="Arial" w:cs="Arial"/>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3961EB"/>
  </w:style>
  <w:style w:type="paragraph" w:styleId="NoSpacing">
    <w:name w:val="No Spacing"/>
    <w:uiPriority w:val="1"/>
    <w:qFormat/>
    <w:rsid w:val="003961EB"/>
    <w:pPr>
      <w:spacing w:after="0" w:line="240" w:lineRule="auto"/>
    </w:pPr>
  </w:style>
  <w:style w:type="character" w:styleId="Emphasis">
    <w:name w:val="Emphasis"/>
    <w:basedOn w:val="DefaultParagraphFont"/>
    <w:uiPriority w:val="20"/>
    <w:qFormat/>
    <w:rsid w:val="003961EB"/>
    <w:rPr>
      <w:i/>
      <w:iCs/>
    </w:rPr>
  </w:style>
  <w:style w:type="paragraph" w:styleId="BalloonText">
    <w:name w:val="Balloon Text"/>
    <w:basedOn w:val="Normal"/>
    <w:link w:val="BalloonTextChar"/>
    <w:uiPriority w:val="99"/>
    <w:semiHidden/>
    <w:unhideWhenUsed/>
    <w:rsid w:val="00396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1EB"/>
    <w:rPr>
      <w:rFonts w:ascii="Segoe UI" w:hAnsi="Segoe UI" w:cs="Segoe UI"/>
      <w:sz w:val="18"/>
      <w:szCs w:val="18"/>
    </w:rPr>
  </w:style>
  <w:style w:type="paragraph" w:styleId="Header">
    <w:name w:val="header"/>
    <w:basedOn w:val="Normal"/>
    <w:link w:val="HeaderChar"/>
    <w:uiPriority w:val="99"/>
    <w:unhideWhenUsed/>
    <w:rsid w:val="00396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1EB"/>
  </w:style>
  <w:style w:type="paragraph" w:styleId="Footer">
    <w:name w:val="footer"/>
    <w:basedOn w:val="Normal"/>
    <w:link w:val="FooterChar"/>
    <w:uiPriority w:val="99"/>
    <w:unhideWhenUsed/>
    <w:rsid w:val="00396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1EB"/>
  </w:style>
  <w:style w:type="paragraph" w:styleId="CommentSubject">
    <w:name w:val="annotation subject"/>
    <w:basedOn w:val="CommentText"/>
    <w:next w:val="CommentText"/>
    <w:link w:val="CommentSubjectChar"/>
    <w:uiPriority w:val="99"/>
    <w:semiHidden/>
    <w:unhideWhenUsed/>
    <w:rsid w:val="003961EB"/>
    <w:rPr>
      <w:b/>
      <w:bCs/>
    </w:rPr>
  </w:style>
  <w:style w:type="character" w:customStyle="1" w:styleId="CommentSubjectChar">
    <w:name w:val="Comment Subject Char"/>
    <w:basedOn w:val="CommentTextChar"/>
    <w:link w:val="CommentSubject"/>
    <w:uiPriority w:val="99"/>
    <w:semiHidden/>
    <w:rsid w:val="003961EB"/>
    <w:rPr>
      <w:b/>
      <w:bCs/>
      <w:sz w:val="20"/>
      <w:szCs w:val="20"/>
    </w:rPr>
  </w:style>
  <w:style w:type="table" w:styleId="TableGrid">
    <w:name w:val="Table Grid"/>
    <w:basedOn w:val="TableNormal"/>
    <w:uiPriority w:val="39"/>
    <w:rsid w:val="009C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9C2E1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amesvalley-pcc.gov.uk/wp-content/uploads/2024/10/Road-Safety-Strategy-FINAL.pdf" TargetMode="External"/><Relationship Id="rId5" Type="http://schemas.openxmlformats.org/officeDocument/2006/relationships/styles" Target="styles.xml"/><Relationship Id="rId10" Type="http://schemas.openxmlformats.org/officeDocument/2006/relationships/hyperlink" Target="https://www.thamesvalley-pcc.gov.uk/videos/police-and-crime-plan-2024-20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7560EDD333E4296F5B558E03FAC9C" ma:contentTypeVersion="11" ma:contentTypeDescription="Create a new document." ma:contentTypeScope="" ma:versionID="733e9152b7e8530dcb1769219c20c157">
  <xsd:schema xmlns:xsd="http://www.w3.org/2001/XMLSchema" xmlns:xs="http://www.w3.org/2001/XMLSchema" xmlns:p="http://schemas.microsoft.com/office/2006/metadata/properties" xmlns:ns3="db6986a1-49ba-484d-a667-7fe698775588" targetNamespace="http://schemas.microsoft.com/office/2006/metadata/properties" ma:root="true" ma:fieldsID="6ad7581d801de0289400bbf5db056f08" ns3:_="">
    <xsd:import namespace="db6986a1-49ba-484d-a667-7fe6987755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986a1-49ba-484d-a667-7fe69877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b6986a1-49ba-484d-a667-7fe698775588" xsi:nil="true"/>
  </documentManagement>
</p:properties>
</file>

<file path=customXml/itemProps1.xml><?xml version="1.0" encoding="utf-8"?>
<ds:datastoreItem xmlns:ds="http://schemas.openxmlformats.org/officeDocument/2006/customXml" ds:itemID="{30DE2810-BAA1-4AF1-B0C6-016774CD9E03}">
  <ds:schemaRefs>
    <ds:schemaRef ds:uri="http://schemas.microsoft.com/sharepoint/v3/contenttype/forms"/>
  </ds:schemaRefs>
</ds:datastoreItem>
</file>

<file path=customXml/itemProps2.xml><?xml version="1.0" encoding="utf-8"?>
<ds:datastoreItem xmlns:ds="http://schemas.openxmlformats.org/officeDocument/2006/customXml" ds:itemID="{BE7CFFBD-8ECC-4FA6-A249-D244125B1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986a1-49ba-484d-a667-7fe69877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1AF4E-298D-486E-9940-CFA807B268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6986a1-49ba-484d-a667-7fe6987755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2625</Words>
  <Characters>14963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 Jacob (C5759)</dc:creator>
  <cp:keywords/>
  <dc:description/>
  <cp:lastModifiedBy>Nurdan, Jacob (C5759)</cp:lastModifiedBy>
  <cp:revision>2</cp:revision>
  <dcterms:created xsi:type="dcterms:W3CDTF">2025-03-03T11:12:00Z</dcterms:created>
  <dcterms:modified xsi:type="dcterms:W3CDTF">2025-03-03T11:12:00Z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0x0101001EE7560EDD333E4296F5B558E03FAC9C</vt:lpwstr>
  </property>
</Properties>
</file>